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1F" w:rsidRPr="007E27E9" w:rsidRDefault="00FA031F" w:rsidP="00FA031F">
      <w:pPr>
        <w:ind w:left="0" w:hanging="2"/>
        <w:rPr>
          <w:rFonts w:ascii="Arial" w:hAnsi="Arial" w:cs="Arial"/>
          <w:i/>
          <w:sz w:val="16"/>
          <w:szCs w:val="16"/>
        </w:rPr>
      </w:pPr>
      <w:bookmarkStart w:id="0" w:name="_GoBack"/>
      <w:bookmarkEnd w:id="0"/>
      <w:r w:rsidRPr="007E27E9">
        <w:rPr>
          <w:rFonts w:ascii="Arial" w:hAnsi="Arial" w:cs="Arial"/>
          <w:i/>
          <w:sz w:val="16"/>
          <w:szCs w:val="16"/>
        </w:rPr>
        <w:t>Ek.</w:t>
      </w:r>
      <w:r>
        <w:rPr>
          <w:rFonts w:ascii="Arial" w:hAnsi="Arial" w:cs="Arial"/>
          <w:i/>
          <w:sz w:val="16"/>
          <w:szCs w:val="16"/>
        </w:rPr>
        <w:t>10</w:t>
      </w:r>
      <w:proofErr w:type="gramStart"/>
      <w:r>
        <w:rPr>
          <w:rFonts w:ascii="Arial" w:hAnsi="Arial" w:cs="Arial"/>
          <w:i/>
          <w:sz w:val="16"/>
          <w:szCs w:val="16"/>
        </w:rPr>
        <w:t>..</w:t>
      </w:r>
      <w:proofErr w:type="gramEnd"/>
      <w:r w:rsidRPr="007E27E9">
        <w:rPr>
          <w:rFonts w:ascii="Arial" w:hAnsi="Arial" w:cs="Arial"/>
          <w:i/>
          <w:sz w:val="16"/>
          <w:szCs w:val="16"/>
        </w:rPr>
        <w:t>1:</w:t>
      </w:r>
      <w:r>
        <w:rPr>
          <w:rFonts w:ascii="Arial" w:hAnsi="Arial" w:cs="Arial"/>
          <w:i/>
          <w:sz w:val="16"/>
          <w:szCs w:val="16"/>
        </w:rPr>
        <w:t xml:space="preserve"> 21.04.2020/02-10</w:t>
      </w:r>
      <w:r w:rsidRPr="007E27E9">
        <w:rPr>
          <w:rFonts w:ascii="Arial" w:hAnsi="Arial" w:cs="Arial"/>
          <w:i/>
          <w:sz w:val="16"/>
          <w:szCs w:val="16"/>
        </w:rPr>
        <w:t xml:space="preserve"> gün ve sayılı Senato kararı ekidir.</w:t>
      </w:r>
    </w:p>
    <w:p w:rsidR="000635DA" w:rsidRDefault="000635DA" w:rsidP="005D73D0">
      <w:pPr>
        <w:spacing w:line="240" w:lineRule="auto"/>
        <w:ind w:left="0" w:hanging="2"/>
        <w:jc w:val="center"/>
        <w:rPr>
          <w:b/>
        </w:rPr>
      </w:pPr>
    </w:p>
    <w:p w:rsidR="00E76127" w:rsidRDefault="00E76127" w:rsidP="005D73D0">
      <w:pPr>
        <w:spacing w:line="240" w:lineRule="auto"/>
        <w:ind w:left="0" w:hanging="2"/>
        <w:jc w:val="center"/>
        <w:rPr>
          <w:b/>
        </w:rPr>
      </w:pPr>
      <w:r>
        <w:rPr>
          <w:rFonts w:ascii="Arial" w:hAnsi="Arial" w:cs="Arial"/>
          <w:noProof/>
        </w:rPr>
        <w:drawing>
          <wp:inline distT="0" distB="0" distL="0" distR="0">
            <wp:extent cx="485775" cy="492252"/>
            <wp:effectExtent l="0" t="0" r="0"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92252"/>
                    </a:xfrm>
                    <a:prstGeom prst="rect">
                      <a:avLst/>
                    </a:prstGeom>
                    <a:noFill/>
                    <a:ln>
                      <a:noFill/>
                    </a:ln>
                  </pic:spPr>
                </pic:pic>
              </a:graphicData>
            </a:graphic>
          </wp:inline>
        </w:drawing>
      </w:r>
    </w:p>
    <w:p w:rsidR="007A111F" w:rsidRDefault="004C33CF" w:rsidP="005D73D0">
      <w:pPr>
        <w:spacing w:line="240" w:lineRule="auto"/>
        <w:ind w:left="0" w:hanging="2"/>
        <w:jc w:val="center"/>
      </w:pPr>
      <w:r>
        <w:rPr>
          <w:b/>
        </w:rPr>
        <w:t xml:space="preserve"> </w:t>
      </w:r>
      <w:r w:rsidR="00EA269C">
        <w:rPr>
          <w:b/>
        </w:rPr>
        <w:t>YILDIZ TEKNİK ÜNİVERSİTESİ</w:t>
      </w:r>
    </w:p>
    <w:p w:rsidR="007A111F" w:rsidRDefault="00EA269C" w:rsidP="005D73D0">
      <w:pPr>
        <w:spacing w:line="240" w:lineRule="auto"/>
        <w:ind w:left="0" w:hanging="2"/>
        <w:jc w:val="center"/>
      </w:pPr>
      <w:r>
        <w:rPr>
          <w:b/>
        </w:rPr>
        <w:t>YABANCI DİLLER YÜKSEKOKULU</w:t>
      </w:r>
    </w:p>
    <w:p w:rsidR="007A111F" w:rsidRDefault="00EA269C" w:rsidP="005D73D0">
      <w:pPr>
        <w:spacing w:line="240" w:lineRule="auto"/>
        <w:ind w:left="0" w:hanging="2"/>
        <w:jc w:val="center"/>
      </w:pPr>
      <w:r>
        <w:rPr>
          <w:b/>
        </w:rPr>
        <w:t>ÖĞRETİM</w:t>
      </w:r>
      <w:r w:rsidR="00EB2EF0">
        <w:rPr>
          <w:b/>
        </w:rPr>
        <w:t xml:space="preserve"> VE SINAV</w:t>
      </w:r>
      <w:r>
        <w:rPr>
          <w:b/>
        </w:rPr>
        <w:t xml:space="preserve"> YÖNERGESİ</w:t>
      </w:r>
    </w:p>
    <w:p w:rsidR="007A111F" w:rsidRDefault="007A111F" w:rsidP="005D73D0">
      <w:pPr>
        <w:spacing w:line="240" w:lineRule="auto"/>
        <w:ind w:left="0" w:hanging="2"/>
        <w:jc w:val="center"/>
      </w:pPr>
    </w:p>
    <w:p w:rsidR="007A111F" w:rsidRDefault="007A111F" w:rsidP="005D73D0">
      <w:pPr>
        <w:spacing w:line="240" w:lineRule="auto"/>
        <w:ind w:left="0" w:hanging="2"/>
        <w:jc w:val="center"/>
      </w:pPr>
    </w:p>
    <w:p w:rsidR="007A111F" w:rsidRDefault="00EA269C" w:rsidP="005D73D0">
      <w:pPr>
        <w:spacing w:line="240" w:lineRule="auto"/>
        <w:ind w:left="0" w:hanging="2"/>
        <w:jc w:val="center"/>
      </w:pPr>
      <w:r>
        <w:rPr>
          <w:b/>
        </w:rPr>
        <w:t>BİRİNCİ BÖLÜM</w:t>
      </w:r>
    </w:p>
    <w:p w:rsidR="007A111F" w:rsidRDefault="00CF7D64" w:rsidP="005D73D0">
      <w:pPr>
        <w:spacing w:line="240" w:lineRule="auto"/>
        <w:ind w:left="0" w:hanging="2"/>
        <w:jc w:val="center"/>
      </w:pPr>
      <w:r>
        <w:rPr>
          <w:b/>
        </w:rPr>
        <w:t>Amaç, Kapsam, Dayanak ve Tanımlar</w:t>
      </w:r>
    </w:p>
    <w:p w:rsidR="007A111F" w:rsidRDefault="007A111F" w:rsidP="005D73D0">
      <w:pPr>
        <w:spacing w:line="240" w:lineRule="auto"/>
        <w:ind w:left="0" w:hanging="2"/>
        <w:jc w:val="center"/>
      </w:pPr>
    </w:p>
    <w:p w:rsidR="00CF7D64" w:rsidRDefault="00CF7D64" w:rsidP="005D73D0">
      <w:pPr>
        <w:spacing w:line="240" w:lineRule="auto"/>
        <w:ind w:left="0" w:hanging="2"/>
        <w:jc w:val="both"/>
        <w:rPr>
          <w:b/>
        </w:rPr>
      </w:pPr>
      <w:r>
        <w:rPr>
          <w:b/>
        </w:rPr>
        <w:t>Amaç</w:t>
      </w:r>
    </w:p>
    <w:p w:rsidR="00CF7D64" w:rsidRDefault="00CF7D64" w:rsidP="005D73D0">
      <w:pPr>
        <w:spacing w:line="240" w:lineRule="auto"/>
        <w:ind w:left="0" w:hanging="2"/>
        <w:jc w:val="both"/>
      </w:pPr>
      <w:r>
        <w:rPr>
          <w:b/>
        </w:rPr>
        <w:t>MADDE 1-</w:t>
      </w:r>
      <w:r w:rsidRPr="00CF7D64">
        <w:t xml:space="preserve"> (1)</w:t>
      </w:r>
      <w:r>
        <w:t xml:space="preserve"> Bu Yönergenin amacı; Yıldız Teknik Üniversitesi Yabancı Diller Yüksekokulu tarafından yürütülen eğitim-öğretim faaliyetlerine ilişkin usul ve esasları belirlemektir.</w:t>
      </w:r>
    </w:p>
    <w:p w:rsidR="00CF7D64" w:rsidRDefault="00CF7D64" w:rsidP="005D73D0">
      <w:pPr>
        <w:spacing w:line="240" w:lineRule="auto"/>
        <w:ind w:left="0" w:hanging="2"/>
        <w:jc w:val="both"/>
      </w:pPr>
    </w:p>
    <w:p w:rsidR="00CF7D64" w:rsidRDefault="00CF7D64" w:rsidP="005D73D0">
      <w:pPr>
        <w:spacing w:line="240" w:lineRule="auto"/>
        <w:ind w:left="0" w:hanging="2"/>
        <w:jc w:val="both"/>
      </w:pPr>
      <w:r>
        <w:rPr>
          <w:b/>
        </w:rPr>
        <w:t>Kapsam</w:t>
      </w:r>
    </w:p>
    <w:p w:rsidR="00CF7D64" w:rsidRDefault="00CF7D64" w:rsidP="005D73D0">
      <w:pPr>
        <w:spacing w:line="240" w:lineRule="auto"/>
        <w:ind w:left="0" w:hanging="2"/>
        <w:jc w:val="both"/>
      </w:pPr>
      <w:r>
        <w:rPr>
          <w:b/>
        </w:rPr>
        <w:t>MADDE 2 –</w:t>
      </w:r>
      <w:r>
        <w:t xml:space="preserve"> (1) Bu Yönerge, Yıldız Teknik Üniversitesi Yabancı Diller Yüksekokulu tarafından yürütülen eğitim-öğretim faaliyetlerini kapsar. </w:t>
      </w:r>
    </w:p>
    <w:p w:rsidR="00CF7D64" w:rsidRDefault="00CF7D64" w:rsidP="005D73D0">
      <w:pPr>
        <w:spacing w:line="240" w:lineRule="auto"/>
        <w:ind w:leftChars="0" w:left="0" w:firstLineChars="0" w:firstLine="0"/>
        <w:jc w:val="both"/>
        <w:rPr>
          <w:b/>
        </w:rPr>
      </w:pPr>
    </w:p>
    <w:p w:rsidR="007A111F" w:rsidRDefault="00EA269C" w:rsidP="005D73D0">
      <w:pPr>
        <w:spacing w:line="240" w:lineRule="auto"/>
        <w:ind w:left="0" w:hanging="2"/>
        <w:jc w:val="both"/>
      </w:pPr>
      <w:r>
        <w:rPr>
          <w:b/>
        </w:rPr>
        <w:t>Dayanak</w:t>
      </w:r>
    </w:p>
    <w:p w:rsidR="007A111F" w:rsidRDefault="00CF7D64" w:rsidP="005D73D0">
      <w:pPr>
        <w:spacing w:line="240" w:lineRule="auto"/>
        <w:ind w:left="0" w:hanging="2"/>
        <w:jc w:val="both"/>
      </w:pPr>
      <w:r>
        <w:rPr>
          <w:b/>
        </w:rPr>
        <w:t>MADDE 3</w:t>
      </w:r>
      <w:r w:rsidR="00EA269C">
        <w:rPr>
          <w:b/>
        </w:rPr>
        <w:t xml:space="preserve"> –</w:t>
      </w:r>
      <w:r w:rsidR="00EA269C">
        <w:t xml:space="preserve"> (1) Bu yönerge </w:t>
      </w:r>
      <w:proofErr w:type="gramStart"/>
      <w:r w:rsidR="00EA269C">
        <w:t>06/11/1981</w:t>
      </w:r>
      <w:proofErr w:type="gramEnd"/>
      <w:r w:rsidR="00EA269C">
        <w:t xml:space="preserve"> tarihli ve 2547 sayılı Kanunun 14’üncü, 20’nci, 21’inci, 49’uncu maddeleri ile 04/12/2008-27074 ve 28/06/2009-27272 sayılı “Yükseköğretim Kurumlarında Yabancı Dil Öğretimi ve Yabancı Dille Öğretim Yapılmasında Uyulacak Esaslara İlişkin Yönetmelik” hükümlerine ve “Yıldız Teknik Üniversitesi Ön</w:t>
      </w:r>
      <w:r w:rsidR="00102AC2">
        <w:t xml:space="preserve"> </w:t>
      </w:r>
      <w:r w:rsidR="00EA269C">
        <w:t>lisans ve Lisans Eğitim</w:t>
      </w:r>
      <w:r w:rsidR="00102AC2">
        <w:t>-</w:t>
      </w:r>
      <w:r w:rsidR="00EA269C">
        <w:t>Öğretim Yönetmeliği” ile “Yıldız Teknik Üniversitesi Ders Eşdeğerlilik ve İntibak Esasları”na dayanılarak hazırlanmıştır.</w:t>
      </w:r>
    </w:p>
    <w:p w:rsidR="00CF7D64" w:rsidRDefault="00CF7D64" w:rsidP="005D73D0">
      <w:pPr>
        <w:spacing w:line="240" w:lineRule="auto"/>
        <w:ind w:left="0" w:hanging="2"/>
        <w:jc w:val="both"/>
      </w:pPr>
    </w:p>
    <w:p w:rsidR="00CF7D64" w:rsidRPr="00CF7D64" w:rsidRDefault="00CF7D64" w:rsidP="005D73D0">
      <w:pPr>
        <w:spacing w:line="240" w:lineRule="auto"/>
        <w:ind w:left="0" w:hanging="2"/>
        <w:jc w:val="both"/>
        <w:rPr>
          <w:b/>
        </w:rPr>
      </w:pPr>
      <w:r w:rsidRPr="00CF7D64">
        <w:rPr>
          <w:b/>
        </w:rPr>
        <w:t>Tanımlar</w:t>
      </w:r>
    </w:p>
    <w:p w:rsidR="00E32BE7" w:rsidRDefault="00CF7D64" w:rsidP="005D73D0">
      <w:pPr>
        <w:spacing w:line="240" w:lineRule="auto"/>
        <w:ind w:left="0" w:hanging="2"/>
        <w:jc w:val="both"/>
      </w:pPr>
      <w:r w:rsidRPr="00CF7D64">
        <w:rPr>
          <w:b/>
        </w:rPr>
        <w:t xml:space="preserve">MADDE 4- </w:t>
      </w:r>
      <w:r>
        <w:t>(1) Bu Yönergede geçen;</w:t>
      </w:r>
    </w:p>
    <w:p w:rsidR="00961183" w:rsidRPr="00E32BE7" w:rsidRDefault="009E6FE5" w:rsidP="005D73D0">
      <w:pPr>
        <w:spacing w:line="240" w:lineRule="auto"/>
        <w:ind w:left="0" w:hanging="2"/>
        <w:jc w:val="both"/>
      </w:pPr>
      <w:r>
        <w:t xml:space="preserve">a) </w:t>
      </w:r>
      <w:r w:rsidR="00961183" w:rsidRPr="00E32BE7">
        <w:t xml:space="preserve">Beklemeli Öğrenci: Zorunlu İngilizce hazırlık öğretimini </w:t>
      </w:r>
      <w:r w:rsidR="001B16C7">
        <w:t xml:space="preserve">başarısızlık veya devamsızlık nedeniyle </w:t>
      </w:r>
      <w:r w:rsidR="00961183" w:rsidRPr="00E32BE7">
        <w:t>süresinde tamamlayamayan öğrenciyi,</w:t>
      </w:r>
    </w:p>
    <w:p w:rsidR="00961183" w:rsidRPr="00961183" w:rsidRDefault="00A736BC" w:rsidP="005D73D0">
      <w:pPr>
        <w:pStyle w:val="AralkYok"/>
        <w:ind w:leftChars="0" w:left="0" w:firstLineChars="0" w:firstLine="0"/>
        <w:jc w:val="both"/>
      </w:pPr>
      <w:r>
        <w:t xml:space="preserve">b) </w:t>
      </w:r>
      <w:r w:rsidR="00961183" w:rsidRPr="005A7C99">
        <w:t>Dönem İçi Başarı Notu:</w:t>
      </w:r>
      <w:r w:rsidR="00961183" w:rsidRPr="00091778">
        <w:t xml:space="preserve"> Dönem içinde yapılan sınav, ödev ve derse katılım notlarının Yönetim Kurulu tarafından belirlenen</w:t>
      </w:r>
      <w:r w:rsidR="00961183">
        <w:t xml:space="preserve"> ağırlıklarla 100 üzerinden hesaplanan notu,</w:t>
      </w:r>
    </w:p>
    <w:p w:rsidR="00E32BE7" w:rsidRDefault="009E6FE5" w:rsidP="005D73D0">
      <w:pPr>
        <w:pStyle w:val="AralkYok"/>
        <w:ind w:left="0" w:hanging="2"/>
        <w:jc w:val="both"/>
      </w:pPr>
      <w:r>
        <w:t xml:space="preserve">c) </w:t>
      </w:r>
      <w:r w:rsidR="00961183" w:rsidRPr="00091778">
        <w:t>İYS: İngilizce Yeterlik Sınavını</w:t>
      </w:r>
      <w:r w:rsidR="00961183">
        <w:t>,</w:t>
      </w:r>
    </w:p>
    <w:p w:rsidR="00961183" w:rsidRPr="00E32BE7" w:rsidRDefault="009E6FE5" w:rsidP="005D73D0">
      <w:pPr>
        <w:pStyle w:val="AralkYok"/>
        <w:ind w:left="0" w:hanging="2"/>
        <w:jc w:val="both"/>
      </w:pPr>
      <w:r>
        <w:t xml:space="preserve">ç) </w:t>
      </w:r>
      <w:r w:rsidR="00961183" w:rsidRPr="00E32BE7">
        <w:t>Rektör: Yıldız Teknik Üniversitesi Rektörünü,</w:t>
      </w:r>
    </w:p>
    <w:p w:rsidR="00961183" w:rsidRDefault="00E236D3" w:rsidP="005D73D0">
      <w:pPr>
        <w:pStyle w:val="AralkYok"/>
        <w:ind w:leftChars="0" w:left="2" w:hanging="2"/>
        <w:jc w:val="both"/>
      </w:pPr>
      <w:r>
        <w:t xml:space="preserve">d) </w:t>
      </w:r>
      <w:r w:rsidR="003E2ABB">
        <w:t>S</w:t>
      </w:r>
      <w:r w:rsidR="00961183">
        <w:t>eçmeli Yabancı Dil Dersleri: Lisans öğrencilerinin isteğe bağlı aldıkları yabancı dil derslerini,</w:t>
      </w:r>
    </w:p>
    <w:p w:rsidR="00961183" w:rsidRDefault="009E6FE5" w:rsidP="005D73D0">
      <w:pPr>
        <w:pStyle w:val="AralkYok"/>
        <w:ind w:left="0" w:hanging="2"/>
        <w:jc w:val="both"/>
      </w:pPr>
      <w:r>
        <w:t xml:space="preserve">e) </w:t>
      </w:r>
      <w:r w:rsidR="00961183">
        <w:t>Senato: Yıldız Teknik Üniversitesi Senatosunu,</w:t>
      </w:r>
    </w:p>
    <w:p w:rsidR="00961183" w:rsidRDefault="009E6FE5" w:rsidP="005D73D0">
      <w:pPr>
        <w:pStyle w:val="AralkYok"/>
        <w:ind w:left="0" w:hanging="2"/>
        <w:jc w:val="both"/>
      </w:pPr>
      <w:r>
        <w:t xml:space="preserve">f) </w:t>
      </w:r>
      <w:r w:rsidR="00961183" w:rsidRPr="00091778">
        <w:t>Üniversite: Yıldız Teknik Üniversitesini</w:t>
      </w:r>
      <w:r w:rsidR="00961183">
        <w:t>,</w:t>
      </w:r>
    </w:p>
    <w:p w:rsidR="00961183" w:rsidRPr="00961183" w:rsidRDefault="009E6FE5" w:rsidP="005D73D0">
      <w:pPr>
        <w:pStyle w:val="AralkYok"/>
        <w:ind w:left="0" w:hanging="2"/>
        <w:jc w:val="both"/>
      </w:pPr>
      <w:r>
        <w:t xml:space="preserve">g) </w:t>
      </w:r>
      <w:r w:rsidR="00961183" w:rsidRPr="00091778">
        <w:t>YDYO</w:t>
      </w:r>
      <w:r w:rsidR="00961183">
        <w:t>: Yabancı Diller Yüksekokulunu,</w:t>
      </w:r>
    </w:p>
    <w:p w:rsidR="003B65A0" w:rsidRPr="00091778" w:rsidRDefault="00E32BE7" w:rsidP="005D73D0">
      <w:pPr>
        <w:pStyle w:val="AralkYok"/>
        <w:ind w:left="0" w:hanging="2"/>
        <w:jc w:val="both"/>
      </w:pPr>
      <w:r>
        <w:t xml:space="preserve">h) </w:t>
      </w:r>
      <w:r w:rsidR="003B65A0" w:rsidRPr="00091778">
        <w:t>Yönetim Kurulu</w:t>
      </w:r>
      <w:r w:rsidR="004811F9">
        <w:t>: Yabancı Diller Yüksekokulu Yönetim Kurulunu</w:t>
      </w:r>
      <w:r w:rsidR="00B51644">
        <w:t>,</w:t>
      </w:r>
    </w:p>
    <w:p w:rsidR="00437A2B" w:rsidRDefault="00E32BE7" w:rsidP="00454CEE">
      <w:pPr>
        <w:pStyle w:val="AralkYok"/>
        <w:ind w:left="0" w:hanging="2"/>
        <w:jc w:val="both"/>
      </w:pPr>
      <w:r>
        <w:t xml:space="preserve">ı) </w:t>
      </w:r>
      <w:r w:rsidR="00F32682">
        <w:t xml:space="preserve">Zorunlu Yabancı Dil Dersleri: </w:t>
      </w:r>
      <w:r w:rsidR="003F21F6">
        <w:t>L</w:t>
      </w:r>
      <w:r w:rsidR="00F32682">
        <w:t xml:space="preserve">isans öğrencilerinin </w:t>
      </w:r>
      <w:r w:rsidR="003F21F6">
        <w:t>eğitimlerini</w:t>
      </w:r>
      <w:r w:rsidR="00F32682">
        <w:t xml:space="preserve"> tamamlamak üzere almak zorunda oldukları</w:t>
      </w:r>
      <w:r w:rsidR="003F21F6">
        <w:t xml:space="preserve"> yabancı dil derslerini</w:t>
      </w:r>
      <w:r w:rsidR="00454CEE">
        <w:t xml:space="preserve"> </w:t>
      </w:r>
      <w:r w:rsidR="00437A2B">
        <w:t>ifade eder.</w:t>
      </w:r>
    </w:p>
    <w:p w:rsidR="00454CEE" w:rsidRDefault="00454CEE" w:rsidP="00454CEE">
      <w:pPr>
        <w:pStyle w:val="AralkYok"/>
        <w:ind w:left="0" w:hanging="2"/>
        <w:jc w:val="both"/>
      </w:pPr>
    </w:p>
    <w:p w:rsidR="007A111F" w:rsidRDefault="00EA269C" w:rsidP="005D73D0">
      <w:pPr>
        <w:spacing w:line="240" w:lineRule="auto"/>
        <w:ind w:left="0" w:hanging="2"/>
        <w:jc w:val="center"/>
      </w:pPr>
      <w:r>
        <w:rPr>
          <w:b/>
        </w:rPr>
        <w:t>İKİNCİ BÖLÜM</w:t>
      </w:r>
    </w:p>
    <w:p w:rsidR="000D516D" w:rsidRDefault="000D516D" w:rsidP="005D73D0">
      <w:pPr>
        <w:spacing w:line="240" w:lineRule="auto"/>
        <w:ind w:left="0" w:hanging="2"/>
        <w:jc w:val="center"/>
        <w:rPr>
          <w:b/>
        </w:rPr>
      </w:pPr>
      <w:r>
        <w:rPr>
          <w:b/>
        </w:rPr>
        <w:t>Genel Hükümler</w:t>
      </w:r>
    </w:p>
    <w:p w:rsidR="000D516D" w:rsidRDefault="000D516D" w:rsidP="005D73D0">
      <w:pPr>
        <w:spacing w:line="240" w:lineRule="auto"/>
        <w:ind w:left="0" w:hanging="2"/>
        <w:jc w:val="both"/>
        <w:rPr>
          <w:b/>
        </w:rPr>
      </w:pPr>
    </w:p>
    <w:p w:rsidR="000D516D" w:rsidRDefault="000D516D" w:rsidP="005D73D0">
      <w:pPr>
        <w:spacing w:line="240" w:lineRule="auto"/>
        <w:ind w:left="0" w:hanging="2"/>
        <w:jc w:val="both"/>
      </w:pPr>
      <w:r>
        <w:rPr>
          <w:b/>
        </w:rPr>
        <w:lastRenderedPageBreak/>
        <w:t>MADDE 5 –</w:t>
      </w:r>
      <w:r>
        <w:t xml:space="preserve"> (1) </w:t>
      </w:r>
      <w:bookmarkStart w:id="1" w:name="gjdgxs" w:colFirst="0" w:colLast="0"/>
      <w:bookmarkEnd w:id="1"/>
      <w:r w:rsidR="00CE2E20">
        <w:t xml:space="preserve">Zorunlu </w:t>
      </w:r>
      <w:r>
        <w:t>İngi</w:t>
      </w:r>
      <w:r w:rsidR="00EB2EF0">
        <w:t>lizce h</w:t>
      </w:r>
      <w:r>
        <w:t xml:space="preserve">azırlık </w:t>
      </w:r>
      <w:r w:rsidR="00EB2EF0">
        <w:t>öğretimi</w:t>
      </w:r>
      <w:r>
        <w:t>; öğretim dili en az %30 İngilizce olan lisans programlarında uygulanır.</w:t>
      </w:r>
    </w:p>
    <w:p w:rsidR="000D516D" w:rsidRDefault="000D516D" w:rsidP="005D73D0">
      <w:pPr>
        <w:spacing w:line="240" w:lineRule="auto"/>
        <w:ind w:left="0" w:hanging="2"/>
        <w:jc w:val="both"/>
      </w:pPr>
      <w:r>
        <w:t>(2) Öğretim dili %100 Türkçe olan prog</w:t>
      </w:r>
      <w:r w:rsidR="00EB2EF0">
        <w:t>ramlar için İngilizce h</w:t>
      </w:r>
      <w:r>
        <w:t xml:space="preserve">azırlık </w:t>
      </w:r>
      <w:r w:rsidR="00EB2EF0">
        <w:t xml:space="preserve">öğretimi </w:t>
      </w:r>
      <w:r>
        <w:t>verilmez.</w:t>
      </w:r>
    </w:p>
    <w:p w:rsidR="006D3D0E" w:rsidRPr="006D3D0E" w:rsidRDefault="0093169B" w:rsidP="005D73D0">
      <w:pPr>
        <w:spacing w:line="240" w:lineRule="auto"/>
        <w:ind w:left="0" w:hanging="2"/>
        <w:jc w:val="both"/>
      </w:pPr>
      <w:r>
        <w:t>(3) Zorunlu İngilizce h</w:t>
      </w:r>
      <w:r w:rsidR="006D3D0E" w:rsidRPr="006D3D0E">
        <w:t>azırlık öğretimi YDYO Temel İngilizce Bölüm Başkanlığı tarafından yürütülür.</w:t>
      </w:r>
    </w:p>
    <w:p w:rsidR="006D3D0E" w:rsidRPr="006D3D0E" w:rsidRDefault="006D3D0E" w:rsidP="005D73D0">
      <w:pPr>
        <w:spacing w:line="240" w:lineRule="auto"/>
        <w:ind w:left="0" w:hanging="2"/>
        <w:jc w:val="both"/>
      </w:pPr>
      <w:r w:rsidRPr="006D3D0E">
        <w:t>(4) Zorunlu ve seçmeli İngilizce dersleri YDYO Modern Diller Bölüm Başkanlığı tarafından yürütülür.</w:t>
      </w:r>
    </w:p>
    <w:p w:rsidR="006D3D0E" w:rsidRPr="00FA031F" w:rsidRDefault="006D3D0E" w:rsidP="005D73D0">
      <w:pPr>
        <w:spacing w:line="240" w:lineRule="auto"/>
        <w:ind w:left="0" w:hanging="2"/>
        <w:jc w:val="both"/>
      </w:pPr>
      <w:r w:rsidRPr="00FA031F">
        <w:t xml:space="preserve">(5) </w:t>
      </w:r>
      <w:r w:rsidR="008866B2" w:rsidRPr="00FA031F">
        <w:t>Üniversite’de i</w:t>
      </w:r>
      <w:r w:rsidRPr="00FA031F">
        <w:t>steğe bağlı hazırlık öğretimi yoktur.</w:t>
      </w:r>
    </w:p>
    <w:p w:rsidR="00FA031F" w:rsidRPr="00023806" w:rsidRDefault="00431000"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FA031F">
        <w:t>(6) Zorunlu İngilizce hazırlık öğretimi Üniversiteye ilk kayıt yoluyla gelen öğrencilere kayıt yaptırdıkları akademik yılda bir kez verilir ve öğrenciler zorunlu İngilizce hazırlık öğretimine ikinci kez katılamazlar. İlk akademik yılın sonunda hazırlık öğretiminde başarısız olan veya devamsızlıktan kalan öğrenciler beklemeli öğrenci sayılır</w:t>
      </w:r>
      <w:r w:rsidR="00FA031F">
        <w:t xml:space="preserve">. </w:t>
      </w:r>
    </w:p>
    <w:p w:rsidR="00431000" w:rsidRPr="006D3D0E" w:rsidRDefault="00431000" w:rsidP="00431000">
      <w:pPr>
        <w:spacing w:line="240" w:lineRule="auto"/>
        <w:ind w:left="0" w:hanging="2"/>
        <w:jc w:val="both"/>
      </w:pPr>
    </w:p>
    <w:p w:rsidR="00431000" w:rsidRPr="006D3D0E" w:rsidRDefault="00431000" w:rsidP="005D73D0">
      <w:pPr>
        <w:spacing w:line="240" w:lineRule="auto"/>
        <w:ind w:left="0" w:hanging="2"/>
        <w:jc w:val="both"/>
      </w:pPr>
    </w:p>
    <w:p w:rsidR="006D3D0E" w:rsidRDefault="006D3D0E" w:rsidP="005D73D0">
      <w:pPr>
        <w:spacing w:line="240" w:lineRule="auto"/>
        <w:ind w:left="0" w:hanging="2"/>
        <w:rPr>
          <w:b/>
        </w:rPr>
      </w:pPr>
    </w:p>
    <w:p w:rsidR="000D516D" w:rsidRDefault="000D516D" w:rsidP="005D73D0">
      <w:pPr>
        <w:spacing w:line="240" w:lineRule="auto"/>
        <w:ind w:left="0" w:hanging="2"/>
        <w:jc w:val="center"/>
        <w:rPr>
          <w:b/>
        </w:rPr>
      </w:pPr>
      <w:r>
        <w:rPr>
          <w:b/>
        </w:rPr>
        <w:t>ÜÇÜNCÜ BÖLÜM</w:t>
      </w:r>
    </w:p>
    <w:p w:rsidR="000D516D" w:rsidRDefault="000D516D" w:rsidP="005D73D0">
      <w:pPr>
        <w:spacing w:line="240" w:lineRule="auto"/>
        <w:ind w:left="0" w:hanging="2"/>
        <w:jc w:val="center"/>
      </w:pPr>
      <w:r>
        <w:rPr>
          <w:b/>
        </w:rPr>
        <w:t>Zorunlu İngilizce Hazırlı</w:t>
      </w:r>
      <w:r w:rsidR="00FF6FB3">
        <w:rPr>
          <w:b/>
        </w:rPr>
        <w:t xml:space="preserve">k </w:t>
      </w:r>
      <w:r w:rsidR="00EB2EF0">
        <w:rPr>
          <w:b/>
        </w:rPr>
        <w:t>Öğret</w:t>
      </w:r>
      <w:r>
        <w:rPr>
          <w:b/>
        </w:rPr>
        <w:t>imi</w:t>
      </w:r>
      <w:r w:rsidR="00437E02">
        <w:rPr>
          <w:b/>
        </w:rPr>
        <w:t>ne İlişkin Esaslar</w:t>
      </w:r>
    </w:p>
    <w:p w:rsidR="00FF6FB3" w:rsidRDefault="00FF6FB3" w:rsidP="005D73D0">
      <w:pPr>
        <w:spacing w:line="240" w:lineRule="auto"/>
        <w:ind w:leftChars="0" w:left="0" w:firstLineChars="0" w:firstLine="0"/>
        <w:rPr>
          <w:b/>
        </w:rPr>
      </w:pPr>
    </w:p>
    <w:p w:rsidR="007A111F" w:rsidRDefault="00826996" w:rsidP="005D73D0">
      <w:pPr>
        <w:spacing w:line="240" w:lineRule="auto"/>
        <w:ind w:left="0" w:hanging="2"/>
      </w:pPr>
      <w:r>
        <w:rPr>
          <w:b/>
        </w:rPr>
        <w:t>İngilizce Yeterlik Sınavı</w:t>
      </w:r>
    </w:p>
    <w:p w:rsidR="00652BE3" w:rsidRDefault="000D516D" w:rsidP="005D73D0">
      <w:pPr>
        <w:spacing w:line="240" w:lineRule="auto"/>
        <w:ind w:left="0" w:hanging="2"/>
        <w:jc w:val="both"/>
      </w:pPr>
      <w:r>
        <w:rPr>
          <w:b/>
        </w:rPr>
        <w:t>MADDE</w:t>
      </w:r>
      <w:r w:rsidR="00EB5973">
        <w:rPr>
          <w:b/>
        </w:rPr>
        <w:t xml:space="preserve"> </w:t>
      </w:r>
      <w:r>
        <w:rPr>
          <w:b/>
        </w:rPr>
        <w:t>6</w:t>
      </w:r>
      <w:r>
        <w:t xml:space="preserve">- </w:t>
      </w:r>
      <w:r w:rsidR="00FF6FB3">
        <w:t xml:space="preserve">(1) </w:t>
      </w:r>
      <w:r w:rsidR="008866B2">
        <w:t>Zorunlu İngilizce hazırlık öğretimi</w:t>
      </w:r>
      <w:r w:rsidR="00FF6FB3">
        <w:t xml:space="preserve">, </w:t>
      </w:r>
      <w:r w:rsidR="0073426E">
        <w:t xml:space="preserve">Temel İngilizce Bölümü </w:t>
      </w:r>
      <w:r w:rsidR="00FF6FB3">
        <w:t xml:space="preserve">tarafından </w:t>
      </w:r>
      <w:r w:rsidR="0073426E">
        <w:t>yapılan</w:t>
      </w:r>
      <w:r w:rsidR="00FF6FB3">
        <w:t xml:space="preserve"> İYS ile başlar.</w:t>
      </w:r>
    </w:p>
    <w:p w:rsidR="007A111F" w:rsidRDefault="00FF6FB3" w:rsidP="005D73D0">
      <w:pPr>
        <w:spacing w:line="240" w:lineRule="auto"/>
        <w:ind w:left="0" w:hanging="2"/>
        <w:jc w:val="both"/>
      </w:pPr>
      <w:r>
        <w:t>(2</w:t>
      </w:r>
      <w:r w:rsidR="00EA269C" w:rsidRPr="00CA669A">
        <w:t xml:space="preserve">) </w:t>
      </w:r>
      <w:r w:rsidR="00C5734C" w:rsidRPr="00CA669A">
        <w:t xml:space="preserve">İYS, </w:t>
      </w:r>
      <w:r>
        <w:t>G</w:t>
      </w:r>
      <w:r w:rsidR="003923D0" w:rsidRPr="00CA669A">
        <w:t>üz</w:t>
      </w:r>
      <w:r w:rsidR="0093169B">
        <w:t xml:space="preserve"> y</w:t>
      </w:r>
      <w:r w:rsidR="00EA269C" w:rsidRPr="00CA669A">
        <w:t xml:space="preserve">arıyılı başında, </w:t>
      </w:r>
      <w:r>
        <w:t>G</w:t>
      </w:r>
      <w:r w:rsidR="003923D0" w:rsidRPr="00CA669A">
        <w:t>üz</w:t>
      </w:r>
      <w:r w:rsidR="0093169B">
        <w:t xml:space="preserve"> </w:t>
      </w:r>
      <w:r w:rsidR="00EA269C" w:rsidRPr="00CA669A">
        <w:t xml:space="preserve">ve </w:t>
      </w:r>
      <w:r w:rsidR="003923D0" w:rsidRPr="00CA669A">
        <w:t>Bahar</w:t>
      </w:r>
      <w:r w:rsidR="00EA269C" w:rsidRPr="00CA669A">
        <w:t xml:space="preserve"> yarıyılı sonunda olmak üzere bir akademik takvimde </w:t>
      </w:r>
      <w:r w:rsidR="00435C69" w:rsidRPr="00CA669A">
        <w:t>3</w:t>
      </w:r>
      <w:r w:rsidR="00435C69">
        <w:t xml:space="preserve"> (</w:t>
      </w:r>
      <w:r>
        <w:t>üç</w:t>
      </w:r>
      <w:r w:rsidR="00435C69">
        <w:t>)</w:t>
      </w:r>
      <w:r>
        <w:t xml:space="preserve"> kere</w:t>
      </w:r>
      <w:r w:rsidR="00EA269C" w:rsidRPr="00CA669A">
        <w:t xml:space="preserve"> yapılır.</w:t>
      </w:r>
    </w:p>
    <w:p w:rsidR="00295507" w:rsidRPr="00CA669A" w:rsidRDefault="00295507" w:rsidP="005D73D0">
      <w:pPr>
        <w:spacing w:line="240" w:lineRule="auto"/>
        <w:ind w:leftChars="0" w:left="0" w:firstLineChars="0" w:firstLine="0"/>
        <w:jc w:val="both"/>
      </w:pPr>
      <w:r>
        <w:t>(3) İYS, öğrencilerin h</w:t>
      </w:r>
      <w:r w:rsidRPr="00295507">
        <w:t xml:space="preserve">azırlık </w:t>
      </w:r>
      <w:r>
        <w:t>öğretim</w:t>
      </w:r>
      <w:r w:rsidRPr="00295507">
        <w:t>inden ve lisans programlarında yer alan zorunlu İleri İngilizce I ve İleri İngilizce II derslerinden muafiyetlerini belirler.</w:t>
      </w:r>
      <w:r w:rsidRPr="00CA669A">
        <w:t xml:space="preserve"> </w:t>
      </w:r>
    </w:p>
    <w:p w:rsidR="007A111F" w:rsidRPr="00CA669A" w:rsidRDefault="00295507" w:rsidP="005D73D0">
      <w:pPr>
        <w:spacing w:line="240" w:lineRule="auto"/>
        <w:ind w:leftChars="0" w:left="0" w:firstLineChars="0" w:firstLine="0"/>
        <w:jc w:val="both"/>
      </w:pPr>
      <w:r>
        <w:t>(4</w:t>
      </w:r>
      <w:r w:rsidR="00FF6FB3">
        <w:t xml:space="preserve">) </w:t>
      </w:r>
      <w:proofErr w:type="spellStart"/>
      <w:r w:rsidR="00EA269C" w:rsidRPr="00CA669A">
        <w:t>İYS’</w:t>
      </w:r>
      <w:r w:rsidR="00E236D3">
        <w:t>ye</w:t>
      </w:r>
      <w:proofErr w:type="spellEnd"/>
      <w:r w:rsidR="00EA269C" w:rsidRPr="00CA669A">
        <w:t xml:space="preserve"> giriş koşulları</w:t>
      </w:r>
      <w:r w:rsidR="00FF6FB3">
        <w:t xml:space="preserve"> şunlardır</w:t>
      </w:r>
      <w:r w:rsidR="00EA269C" w:rsidRPr="00CA669A">
        <w:t>:</w:t>
      </w:r>
    </w:p>
    <w:p w:rsidR="007A111F" w:rsidRPr="00CA669A" w:rsidRDefault="00E32BE7" w:rsidP="00FA031F">
      <w:pPr>
        <w:spacing w:line="240" w:lineRule="auto"/>
        <w:ind w:leftChars="0" w:left="0" w:firstLineChars="0" w:firstLine="426"/>
        <w:jc w:val="both"/>
      </w:pPr>
      <w:r>
        <w:t xml:space="preserve">a) </w:t>
      </w:r>
      <w:r w:rsidR="003923D0" w:rsidRPr="00CA669A">
        <w:t>Güz</w:t>
      </w:r>
      <w:r w:rsidR="00EB2EF0">
        <w:t xml:space="preserve"> yarıyılı başında yapılacak </w:t>
      </w:r>
      <w:proofErr w:type="spellStart"/>
      <w:r w:rsidR="00EA269C" w:rsidRPr="00CA669A">
        <w:t>İYS’ye</w:t>
      </w:r>
      <w:proofErr w:type="spellEnd"/>
      <w:r w:rsidR="00EA269C" w:rsidRPr="00CA669A">
        <w:t>,</w:t>
      </w:r>
      <w:r w:rsidR="007F1849" w:rsidRPr="00CA669A">
        <w:t xml:space="preserve"> </w:t>
      </w:r>
      <w:r w:rsidR="00EA269C" w:rsidRPr="00CA669A">
        <w:t>öğret</w:t>
      </w:r>
      <w:r w:rsidR="00703850">
        <w:t>im dili en az %30 İngilizce</w:t>
      </w:r>
      <w:r w:rsidR="00EA269C" w:rsidRPr="00CA669A">
        <w:t xml:space="preserve"> lis</w:t>
      </w:r>
      <w:r w:rsidR="00EB2EF0">
        <w:t xml:space="preserve">ans programlarına </w:t>
      </w:r>
      <w:r w:rsidR="00106BB6">
        <w:t>kaydolan</w:t>
      </w:r>
      <w:r w:rsidR="00703850">
        <w:t xml:space="preserve"> öğrenciler ile</w:t>
      </w:r>
      <w:r w:rsidR="00EB2EF0">
        <w:t xml:space="preserve"> h</w:t>
      </w:r>
      <w:r w:rsidR="00EA269C" w:rsidRPr="00CA669A">
        <w:t xml:space="preserve">azırlık </w:t>
      </w:r>
      <w:r w:rsidR="00703850">
        <w:t>öğretiminden</w:t>
      </w:r>
      <w:r w:rsidR="00EA269C" w:rsidRPr="00CA669A">
        <w:t xml:space="preserve"> beklemeli öğrenciler </w:t>
      </w:r>
      <w:r w:rsidR="00652BE3" w:rsidRPr="00CA669A">
        <w:t>gir</w:t>
      </w:r>
      <w:r w:rsidR="00EB2EF0">
        <w:t>er.</w:t>
      </w:r>
    </w:p>
    <w:p w:rsidR="00FA031F" w:rsidRPr="00023806" w:rsidRDefault="004B409F"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426"/>
        <w:jc w:val="both"/>
        <w:textDirection w:val="lrTb"/>
        <w:textAlignment w:val="auto"/>
        <w:outlineLvl w:val="9"/>
        <w:rPr>
          <w:strike/>
        </w:rPr>
      </w:pPr>
      <w:proofErr w:type="gramStart"/>
      <w:r w:rsidRPr="00FA031F">
        <w:t xml:space="preserve">b) Güz yarıyılı sonunda yapılacak </w:t>
      </w:r>
      <w:proofErr w:type="spellStart"/>
      <w:r w:rsidRPr="00FA031F">
        <w:t>İYS’ye</w:t>
      </w:r>
      <w:proofErr w:type="spellEnd"/>
      <w:r w:rsidRPr="00FA031F">
        <w:t>, devam zorunluluğunu yerine getiren ve Güz yarıyılı dönem içi başarı notu ortalaması en az 85 (</w:t>
      </w:r>
      <w:proofErr w:type="spellStart"/>
      <w:r w:rsidRPr="00FA031F">
        <w:t>seksenbeş</w:t>
      </w:r>
      <w:proofErr w:type="spellEnd"/>
      <w:r w:rsidRPr="00FA031F">
        <w:t>) puan olan A1 ve A2 düzeyi öğrencileri ile devam zorunluluğunu yerine getiren ve Güz yarıyılı dönem içi başarı notu ortalaması en az 60 (altmış) puan olan B1 ve B1+ düzeyi öğrencileri ve beklemeli öğrenciler girer.</w:t>
      </w:r>
      <w:r w:rsidR="00FA031F" w:rsidRPr="00FA031F">
        <w:t xml:space="preserve"> </w:t>
      </w:r>
      <w:proofErr w:type="gramEnd"/>
    </w:p>
    <w:p w:rsidR="00A912D6" w:rsidRDefault="007F1849" w:rsidP="00FA031F">
      <w:pPr>
        <w:spacing w:line="240" w:lineRule="auto"/>
        <w:ind w:leftChars="0" w:left="0" w:firstLineChars="0" w:firstLine="426"/>
        <w:jc w:val="both"/>
      </w:pPr>
      <w:r w:rsidRPr="00CA669A">
        <w:t xml:space="preserve">c) </w:t>
      </w:r>
      <w:r w:rsidR="00A912D6" w:rsidRPr="00CA669A">
        <w:t xml:space="preserve">Bahar yarıyılı sonunda yapılan </w:t>
      </w:r>
      <w:proofErr w:type="spellStart"/>
      <w:r w:rsidR="00A912D6" w:rsidRPr="00CA669A">
        <w:t>İYS’ye</w:t>
      </w:r>
      <w:proofErr w:type="spellEnd"/>
      <w:r w:rsidR="00A912D6" w:rsidRPr="00CA669A">
        <w:t xml:space="preserve"> </w:t>
      </w:r>
      <w:r w:rsidR="00A912D6">
        <w:t xml:space="preserve">Güz ve Bahar yarıyılları için devam zorunluluğunu sağlayan ve </w:t>
      </w:r>
      <w:r w:rsidR="00A912D6" w:rsidRPr="00CA669A">
        <w:t>Güz</w:t>
      </w:r>
      <w:r w:rsidR="00A912D6">
        <w:t xml:space="preserve"> ve </w:t>
      </w:r>
      <w:r w:rsidR="00A912D6" w:rsidRPr="00CA669A">
        <w:t xml:space="preserve">Bahar yarıyılı </w:t>
      </w:r>
      <w:r w:rsidR="00A912D6">
        <w:t>dönem içi başarı notlarının toplamının ortalamas</w:t>
      </w:r>
      <w:r w:rsidR="00295507">
        <w:t>ı</w:t>
      </w:r>
      <w:r w:rsidR="00A912D6" w:rsidRPr="00CA669A">
        <w:t xml:space="preserve"> en</w:t>
      </w:r>
      <w:r w:rsidR="00A912D6">
        <w:t xml:space="preserve"> az</w:t>
      </w:r>
      <w:r w:rsidR="00A912D6" w:rsidRPr="00CA669A">
        <w:t xml:space="preserve"> 60 </w:t>
      </w:r>
      <w:r w:rsidR="00435C69">
        <w:t xml:space="preserve">(altmış) </w:t>
      </w:r>
      <w:r w:rsidR="00A912D6" w:rsidRPr="00CA669A">
        <w:t>olan öğrenciler ile beklemeli öğrenciler girer.</w:t>
      </w:r>
    </w:p>
    <w:p w:rsidR="007A111F" w:rsidRDefault="00295507" w:rsidP="005D73D0">
      <w:pPr>
        <w:spacing w:line="240" w:lineRule="auto"/>
        <w:ind w:left="0" w:hanging="2"/>
        <w:jc w:val="both"/>
      </w:pPr>
      <w:r>
        <w:t>(5</w:t>
      </w:r>
      <w:r w:rsidR="00EA269C" w:rsidRPr="00CA669A">
        <w:t xml:space="preserve">) </w:t>
      </w:r>
      <w:r>
        <w:t>H</w:t>
      </w:r>
      <w:r w:rsidR="00EA269C" w:rsidRPr="00CA669A">
        <w:t xml:space="preserve">erhangi bir nedenle </w:t>
      </w:r>
      <w:proofErr w:type="spellStart"/>
      <w:r w:rsidRPr="00CA669A">
        <w:t>İYS’ye</w:t>
      </w:r>
      <w:proofErr w:type="spellEnd"/>
      <w:r w:rsidRPr="00CA669A">
        <w:t xml:space="preserve"> </w:t>
      </w:r>
      <w:r>
        <w:t>gir</w:t>
      </w:r>
      <w:r w:rsidR="00EA269C" w:rsidRPr="00CA669A">
        <w:t>meyen öğrenciler için mazeret sınavı düzenlenmez.</w:t>
      </w:r>
    </w:p>
    <w:p w:rsidR="007A111F" w:rsidRDefault="007A111F" w:rsidP="005D73D0">
      <w:pPr>
        <w:spacing w:line="240" w:lineRule="auto"/>
        <w:ind w:left="0" w:hanging="2"/>
        <w:jc w:val="both"/>
      </w:pPr>
    </w:p>
    <w:p w:rsidR="007A111F" w:rsidRPr="00826996" w:rsidRDefault="00894A09" w:rsidP="005D73D0">
      <w:pPr>
        <w:spacing w:line="240" w:lineRule="auto"/>
        <w:ind w:left="0" w:hanging="2"/>
        <w:rPr>
          <w:b/>
        </w:rPr>
      </w:pPr>
      <w:r>
        <w:rPr>
          <w:b/>
        </w:rPr>
        <w:t>İngilizce Yeterlik Sınavı</w:t>
      </w:r>
      <w:r w:rsidR="00EA269C" w:rsidRPr="00CA669A">
        <w:rPr>
          <w:b/>
        </w:rPr>
        <w:t xml:space="preserve"> Uygulama </w:t>
      </w:r>
      <w:r>
        <w:rPr>
          <w:b/>
        </w:rPr>
        <w:t>Esasları</w:t>
      </w:r>
    </w:p>
    <w:p w:rsidR="00894A09" w:rsidRDefault="00894A09" w:rsidP="005D73D0">
      <w:pPr>
        <w:spacing w:line="240" w:lineRule="auto"/>
        <w:ind w:left="0" w:hanging="2"/>
        <w:jc w:val="both"/>
      </w:pPr>
      <w:r>
        <w:rPr>
          <w:b/>
        </w:rPr>
        <w:t xml:space="preserve">MADDE 7- </w:t>
      </w:r>
      <w:r w:rsidRPr="00894A09">
        <w:t>(1)</w:t>
      </w:r>
      <w:r>
        <w:t xml:space="preserve"> İYS </w:t>
      </w:r>
      <w:r w:rsidR="00EA269C" w:rsidRPr="00CA669A">
        <w:t>iki</w:t>
      </w:r>
      <w:r>
        <w:t xml:space="preserve"> aşamalı olarak gerçekleştirilir. Sınavın birinci</w:t>
      </w:r>
      <w:r w:rsidR="004A2D55" w:rsidRPr="00CA669A">
        <w:t xml:space="preserve"> aşamasında</w:t>
      </w:r>
      <w:r w:rsidR="00155D9C">
        <w:t xml:space="preserve"> öğrencilerin okuma becerisi ve dilin k</w:t>
      </w:r>
      <w:r w:rsidR="00EA269C" w:rsidRPr="00CA669A">
        <w:t>ullanımı, ikinci aşama</w:t>
      </w:r>
      <w:r w:rsidR="004A2D55" w:rsidRPr="00CA669A">
        <w:t>sın</w:t>
      </w:r>
      <w:r w:rsidR="00155D9C">
        <w:t>da ise dinleme ve y</w:t>
      </w:r>
      <w:r w:rsidR="00826996">
        <w:t>azma b</w:t>
      </w:r>
      <w:r w:rsidR="00EA269C" w:rsidRPr="00CA669A">
        <w:t xml:space="preserve">ecerileri ölçülür. </w:t>
      </w:r>
    </w:p>
    <w:p w:rsidR="00FA031F" w:rsidRPr="00023806" w:rsidRDefault="00E009C3"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FA031F">
        <w:t xml:space="preserve">2) </w:t>
      </w:r>
      <w:proofErr w:type="spellStart"/>
      <w:r w:rsidRPr="00FA031F">
        <w:t>İYS’nin</w:t>
      </w:r>
      <w:proofErr w:type="spellEnd"/>
      <w:r w:rsidRPr="00FA031F">
        <w:t xml:space="preserve"> her bir aşaması 50 (elli) puan üzerinden değerlendirilir. Güz yarıyılı başında yapılan </w:t>
      </w:r>
      <w:proofErr w:type="spellStart"/>
      <w:r w:rsidRPr="00FA031F">
        <w:t>İYS’nin</w:t>
      </w:r>
      <w:proofErr w:type="spellEnd"/>
      <w:r w:rsidRPr="00FA031F">
        <w:t xml:space="preserve"> birinci aşamasından 50 (elli) üzerinden en az 25 (yirmi beş) puan alan öğrenciler ikinci aşamaya girme hakkı kazanır. Sınavın birinci aşamasından 25 (yirmi beş) puanın altında not alan öğrenciler, ilgili düzeylere yerleştirilir.</w:t>
      </w:r>
      <w:r w:rsidR="00FA031F" w:rsidRPr="00FA031F">
        <w:rPr>
          <w:b/>
        </w:rPr>
        <w:t xml:space="preserve"> </w:t>
      </w:r>
    </w:p>
    <w:p w:rsidR="00781F14" w:rsidRDefault="00894A09" w:rsidP="005D73D0">
      <w:pPr>
        <w:spacing w:line="240" w:lineRule="auto"/>
        <w:ind w:left="0" w:hanging="2"/>
        <w:jc w:val="both"/>
      </w:pPr>
      <w:r>
        <w:t xml:space="preserve">(3) Sınavın birinci </w:t>
      </w:r>
      <w:r w:rsidR="0079117B" w:rsidRPr="00CA669A">
        <w:t>aşama</w:t>
      </w:r>
      <w:r>
        <w:t>sın</w:t>
      </w:r>
      <w:r w:rsidR="0079117B" w:rsidRPr="00CA669A">
        <w:t xml:space="preserve">dan </w:t>
      </w:r>
      <w:r w:rsidR="004F14E4">
        <w:t xml:space="preserve">en az </w:t>
      </w:r>
      <w:r w:rsidR="0079117B" w:rsidRPr="00CA669A">
        <w:t>25 (yirmi beş) ve üzeri puan alarak i</w:t>
      </w:r>
      <w:r w:rsidR="004A2D55" w:rsidRPr="00CA669A">
        <w:t xml:space="preserve">kinci </w:t>
      </w:r>
      <w:r w:rsidR="0079117B" w:rsidRPr="00CA669A">
        <w:t>a</w:t>
      </w:r>
      <w:r w:rsidR="000B5C40">
        <w:t>şamaya geçen öğrencilerin toplam</w:t>
      </w:r>
      <w:r w:rsidR="0079117B" w:rsidRPr="00CA669A">
        <w:t xml:space="preserve"> puanı</w:t>
      </w:r>
      <w:r w:rsidRPr="00894A09">
        <w:t>,</w:t>
      </w:r>
      <w:r>
        <w:t xml:space="preserve"> birinci</w:t>
      </w:r>
      <w:r w:rsidR="000B5C40">
        <w:t xml:space="preserve"> ve</w:t>
      </w:r>
      <w:r w:rsidR="00EA269C" w:rsidRPr="00CA669A">
        <w:t xml:space="preserve"> </w:t>
      </w:r>
      <w:r w:rsidR="000B5C40">
        <w:t>ikinci aşamadan aldıkları</w:t>
      </w:r>
      <w:r w:rsidR="00781F14">
        <w:t xml:space="preserve"> </w:t>
      </w:r>
      <w:r w:rsidR="0079117B" w:rsidRPr="00CA669A">
        <w:t>puan</w:t>
      </w:r>
      <w:r w:rsidR="000B5C40">
        <w:t>lar</w:t>
      </w:r>
      <w:r w:rsidR="00EA269C" w:rsidRPr="00CA669A">
        <w:t xml:space="preserve"> toplanarak hesaplanır. </w:t>
      </w:r>
    </w:p>
    <w:p w:rsidR="00781F14" w:rsidRDefault="00781F14" w:rsidP="005D73D0">
      <w:pPr>
        <w:spacing w:line="240" w:lineRule="auto"/>
        <w:ind w:left="0" w:hanging="2"/>
        <w:jc w:val="both"/>
      </w:pPr>
      <w:r>
        <w:lastRenderedPageBreak/>
        <w:t xml:space="preserve">(4) </w:t>
      </w:r>
      <w:proofErr w:type="spellStart"/>
      <w:r>
        <w:t>İYS’de</w:t>
      </w:r>
      <w:proofErr w:type="spellEnd"/>
      <w:r>
        <w:t xml:space="preserve"> başarılı sayılabilmek içi</w:t>
      </w:r>
      <w:r w:rsidR="00F2482B">
        <w:t>n, birinci ve ikinci aşama</w:t>
      </w:r>
      <w:r>
        <w:t xml:space="preserve"> puanlarının toplamının </w:t>
      </w:r>
      <w:r w:rsidR="0079117B" w:rsidRPr="00CA669A">
        <w:t xml:space="preserve">100 (yüz) tam puan üzerinden </w:t>
      </w:r>
      <w:r w:rsidR="004F14E4">
        <w:t xml:space="preserve">en </w:t>
      </w:r>
      <w:r w:rsidR="00EA269C" w:rsidRPr="00CA669A">
        <w:t>60 (altmış)</w:t>
      </w:r>
      <w:r>
        <w:t xml:space="preserve"> olması gerekir. </w:t>
      </w:r>
    </w:p>
    <w:p w:rsidR="00781F14" w:rsidRDefault="00781F14" w:rsidP="005D73D0">
      <w:pPr>
        <w:spacing w:line="240" w:lineRule="auto"/>
        <w:ind w:left="0" w:hanging="2"/>
        <w:jc w:val="both"/>
      </w:pPr>
      <w:r>
        <w:t>(5) İ</w:t>
      </w:r>
      <w:r w:rsidR="00F2482B">
        <w:t>YS birinci ve ikinci aşama</w:t>
      </w:r>
      <w:r>
        <w:t xml:space="preserve"> puanlarının toplamı 60’ın</w:t>
      </w:r>
      <w:r w:rsidR="0079117B" w:rsidRPr="00CA669A">
        <w:t xml:space="preserve"> (</w:t>
      </w:r>
      <w:r>
        <w:t>altmış) altında olan öğrenciler başarısız sayılır ve</w:t>
      </w:r>
      <w:r w:rsidR="0079117B" w:rsidRPr="00CA669A">
        <w:t xml:space="preserve"> </w:t>
      </w:r>
      <w:r w:rsidR="0077359F" w:rsidRPr="00CA669A">
        <w:t>ilgili düzeylere</w:t>
      </w:r>
      <w:r w:rsidR="0079117B" w:rsidRPr="00CA669A">
        <w:t xml:space="preserve"> yerleştirilir. </w:t>
      </w:r>
    </w:p>
    <w:p w:rsidR="00184904" w:rsidRDefault="0077794D" w:rsidP="005D73D0">
      <w:pPr>
        <w:spacing w:line="240" w:lineRule="auto"/>
        <w:ind w:left="0" w:hanging="2"/>
        <w:jc w:val="both"/>
      </w:pPr>
      <w:r>
        <w:t xml:space="preserve">(6) </w:t>
      </w:r>
      <w:r w:rsidR="002B5712" w:rsidRPr="00796538">
        <w:t>Güz yarıyılı başında yapılan İ</w:t>
      </w:r>
      <w:r w:rsidR="002B5712" w:rsidRPr="00227736">
        <w:t>Y</w:t>
      </w:r>
      <w:r w:rsidR="002B5712">
        <w:t>S haricinde diğer</w:t>
      </w:r>
      <w:r w:rsidR="00F44A86">
        <w:t xml:space="preserve"> </w:t>
      </w:r>
      <w:proofErr w:type="spellStart"/>
      <w:r w:rsidR="008866B2" w:rsidRPr="00796538">
        <w:t>İYS’</w:t>
      </w:r>
      <w:r w:rsidR="008866B2">
        <w:t>ler</w:t>
      </w:r>
      <w:r w:rsidR="008866B2" w:rsidRPr="00796538">
        <w:t>de</w:t>
      </w:r>
      <w:proofErr w:type="spellEnd"/>
      <w:r w:rsidR="008866B2" w:rsidRPr="00796538">
        <w:t xml:space="preserve"> birinci aşamadan </w:t>
      </w:r>
      <w:r w:rsidR="004F14E4">
        <w:t xml:space="preserve">en az </w:t>
      </w:r>
      <w:r w:rsidR="008866B2" w:rsidRPr="00796538">
        <w:t xml:space="preserve">25 (yirmi beş) puan alma koşulu aranmaz. Öğrenciler </w:t>
      </w:r>
      <w:r w:rsidR="008866B2">
        <w:t xml:space="preserve">bu dönemlerde yapılan </w:t>
      </w:r>
      <w:proofErr w:type="spellStart"/>
      <w:r w:rsidR="008866B2" w:rsidRPr="00796538">
        <w:t>İYS’</w:t>
      </w:r>
      <w:r w:rsidR="008866B2">
        <w:t>lerde</w:t>
      </w:r>
      <w:proofErr w:type="spellEnd"/>
      <w:r w:rsidR="008866B2">
        <w:t xml:space="preserve"> sınavın iki</w:t>
      </w:r>
      <w:r w:rsidR="008866B2" w:rsidRPr="00796538">
        <w:t xml:space="preserve"> aşama</w:t>
      </w:r>
      <w:r w:rsidR="008866B2">
        <w:t>sının</w:t>
      </w:r>
      <w:r w:rsidR="008866B2" w:rsidRPr="00796538">
        <w:t xml:space="preserve"> toplamında </w:t>
      </w:r>
      <w:r w:rsidR="004F14E4">
        <w:t xml:space="preserve">en az </w:t>
      </w:r>
      <w:r w:rsidR="008866B2" w:rsidRPr="00796538">
        <w:t>60 (altmış) puan aldıkları takdirde başarılı sayılırlar.</w:t>
      </w:r>
      <w:r w:rsidR="00BE7219">
        <w:t xml:space="preserve"> </w:t>
      </w:r>
    </w:p>
    <w:p w:rsidR="00FA031F" w:rsidRPr="00FA031F" w:rsidRDefault="00184904"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FA031F">
        <w:t xml:space="preserve">(7) Beklemeli öğrenciler için </w:t>
      </w:r>
      <w:proofErr w:type="spellStart"/>
      <w:r w:rsidRPr="00FA031F">
        <w:t>İYS’nin</w:t>
      </w:r>
      <w:proofErr w:type="spellEnd"/>
      <w:r w:rsidRPr="00FA031F">
        <w:t xml:space="preserve"> birinci aşamasından 25 (yirmi beş) puan alma koşulu aranmaz. Beklemeli öğrenciler </w:t>
      </w:r>
      <w:proofErr w:type="spellStart"/>
      <w:r w:rsidRPr="00FA031F">
        <w:t>İYS’nin</w:t>
      </w:r>
      <w:proofErr w:type="spellEnd"/>
      <w:r w:rsidRPr="00FA031F">
        <w:t xml:space="preserve"> iki aşamasının toplamında 60 (altmış) ve üzeri puan aldıkları takdirde başarılı sayılırlar.</w:t>
      </w:r>
      <w:r w:rsidR="00FA031F" w:rsidRPr="00FA031F">
        <w:rPr>
          <w:b/>
        </w:rPr>
        <w:t xml:space="preserve"> </w:t>
      </w:r>
    </w:p>
    <w:p w:rsidR="00FA031F" w:rsidRPr="00023806" w:rsidRDefault="00184904"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FA031F">
        <w:t>(8) İYS sonuçları sınavın yapıldığı tarihten itibaren 3 (üç) yıl geçerlidir.</w:t>
      </w:r>
      <w:r w:rsidR="00FA031F" w:rsidRPr="00FA031F">
        <w:t xml:space="preserve"> </w:t>
      </w:r>
    </w:p>
    <w:p w:rsidR="00184904" w:rsidRDefault="00184904" w:rsidP="00184904">
      <w:pPr>
        <w:spacing w:line="240" w:lineRule="auto"/>
        <w:ind w:left="0" w:hanging="2"/>
        <w:jc w:val="both"/>
      </w:pPr>
    </w:p>
    <w:p w:rsidR="007A111F" w:rsidRPr="00CA669A" w:rsidRDefault="00F03B2B" w:rsidP="00FA031F">
      <w:pPr>
        <w:spacing w:line="240" w:lineRule="auto"/>
        <w:ind w:leftChars="0" w:left="0" w:firstLineChars="0" w:firstLine="0"/>
      </w:pPr>
      <w:r>
        <w:rPr>
          <w:b/>
        </w:rPr>
        <w:t>M</w:t>
      </w:r>
      <w:r w:rsidR="00FD670A">
        <w:rPr>
          <w:b/>
        </w:rPr>
        <w:t>uafiyet</w:t>
      </w:r>
    </w:p>
    <w:p w:rsidR="00EB5973" w:rsidRPr="00CA669A" w:rsidRDefault="00FD670A" w:rsidP="00FA031F">
      <w:pPr>
        <w:spacing w:line="240" w:lineRule="auto"/>
        <w:ind w:left="0" w:hanging="2"/>
        <w:jc w:val="both"/>
      </w:pPr>
      <w:r>
        <w:rPr>
          <w:b/>
        </w:rPr>
        <w:t xml:space="preserve">MADDE 8- </w:t>
      </w:r>
      <w:r>
        <w:t>(1) Öğrencilerin, h</w:t>
      </w:r>
      <w:r w:rsidR="00EA269C" w:rsidRPr="00CA669A">
        <w:t xml:space="preserve">azırlık </w:t>
      </w:r>
      <w:r>
        <w:t>öğretiminden</w:t>
      </w:r>
      <w:r w:rsidR="00EA269C" w:rsidRPr="00CA669A">
        <w:t xml:space="preserve"> ve</w:t>
      </w:r>
      <w:r>
        <w:t xml:space="preserve"> </w:t>
      </w:r>
      <w:r w:rsidRPr="00FD670A">
        <w:t>İleri İngilizc</w:t>
      </w:r>
      <w:r>
        <w:t xml:space="preserve">e </w:t>
      </w:r>
      <w:r w:rsidRPr="00FD670A">
        <w:t>I ve</w:t>
      </w:r>
      <w:r>
        <w:t xml:space="preserve"> </w:t>
      </w:r>
      <w:r w:rsidRPr="00FD670A">
        <w:t xml:space="preserve">İleri İngilizce II </w:t>
      </w:r>
      <w:r>
        <w:t>derslerinden muaf sayılabi</w:t>
      </w:r>
      <w:r w:rsidR="00EA269C" w:rsidRPr="00CA669A">
        <w:t>l</w:t>
      </w:r>
      <w:r>
        <w:t>m</w:t>
      </w:r>
      <w:r w:rsidR="00EA269C" w:rsidRPr="00CA669A">
        <w:t>e</w:t>
      </w:r>
      <w:r>
        <w:t>le</w:t>
      </w:r>
      <w:r w:rsidR="00EA269C" w:rsidRPr="00CA669A">
        <w:t xml:space="preserve">ri için </w:t>
      </w:r>
      <w:proofErr w:type="spellStart"/>
      <w:r w:rsidR="00EA269C" w:rsidRPr="00CA669A">
        <w:t>İYS’den</w:t>
      </w:r>
      <w:proofErr w:type="spellEnd"/>
      <w:r w:rsidR="00EA269C" w:rsidRPr="00CA669A">
        <w:t xml:space="preserve"> almal</w:t>
      </w:r>
      <w:r w:rsidR="00281098">
        <w:t xml:space="preserve">arı gereken en düşük puanlar ile </w:t>
      </w:r>
      <w:r w:rsidR="00EA269C" w:rsidRPr="00CA669A">
        <w:t>harf karşılı</w:t>
      </w:r>
      <w:r w:rsidR="00281098">
        <w:t>kları ve değerleri</w:t>
      </w:r>
      <w:r>
        <w:t xml:space="preserve"> aşağıdadır</w:t>
      </w:r>
      <w:r w:rsidR="00EA269C" w:rsidRPr="00CA669A">
        <w:t>:</w:t>
      </w:r>
    </w:p>
    <w:tbl>
      <w:tblPr>
        <w:tblStyle w:val="a"/>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2779"/>
        <w:gridCol w:w="2980"/>
      </w:tblGrid>
      <w:tr w:rsidR="007A111F" w:rsidRPr="00CA669A" w:rsidTr="00D8307F">
        <w:trPr>
          <w:trHeight w:val="397"/>
          <w:jc w:val="center"/>
        </w:trPr>
        <w:tc>
          <w:tcPr>
            <w:tcW w:w="2205" w:type="dxa"/>
            <w:vMerge w:val="restart"/>
            <w:vAlign w:val="center"/>
          </w:tcPr>
          <w:p w:rsidR="007A111F" w:rsidRPr="00CA669A" w:rsidRDefault="00E153E0" w:rsidP="005D73D0">
            <w:pPr>
              <w:spacing w:line="240" w:lineRule="auto"/>
              <w:ind w:left="0" w:hanging="2"/>
              <w:jc w:val="center"/>
            </w:pPr>
            <w:r>
              <w:rPr>
                <w:b/>
              </w:rPr>
              <w:t>S</w:t>
            </w:r>
            <w:r w:rsidR="00EA269C" w:rsidRPr="00CA669A">
              <w:rPr>
                <w:b/>
              </w:rPr>
              <w:t>ınav türü</w:t>
            </w:r>
          </w:p>
        </w:tc>
        <w:tc>
          <w:tcPr>
            <w:tcW w:w="5759" w:type="dxa"/>
            <w:gridSpan w:val="2"/>
            <w:vAlign w:val="center"/>
          </w:tcPr>
          <w:p w:rsidR="007A111F" w:rsidRPr="00CA669A" w:rsidRDefault="00EA269C" w:rsidP="005D73D0">
            <w:pPr>
              <w:spacing w:line="240" w:lineRule="auto"/>
              <w:ind w:left="0" w:hanging="2"/>
              <w:jc w:val="center"/>
            </w:pPr>
            <w:r w:rsidRPr="00CA669A">
              <w:rPr>
                <w:b/>
              </w:rPr>
              <w:t>Muafiyet için Alınması Gereken Puanlar</w:t>
            </w:r>
          </w:p>
        </w:tc>
      </w:tr>
      <w:tr w:rsidR="007A111F" w:rsidRPr="00CA669A" w:rsidTr="00D8307F">
        <w:trPr>
          <w:trHeight w:val="397"/>
          <w:jc w:val="center"/>
        </w:trPr>
        <w:tc>
          <w:tcPr>
            <w:tcW w:w="2205" w:type="dxa"/>
            <w:vMerge/>
            <w:vAlign w:val="center"/>
          </w:tcPr>
          <w:p w:rsidR="007A111F" w:rsidRPr="00CA669A" w:rsidRDefault="007A111F" w:rsidP="005D73D0">
            <w:pPr>
              <w:spacing w:line="240" w:lineRule="auto"/>
              <w:ind w:left="0" w:hanging="2"/>
              <w:jc w:val="center"/>
            </w:pPr>
          </w:p>
        </w:tc>
        <w:tc>
          <w:tcPr>
            <w:tcW w:w="2779" w:type="dxa"/>
            <w:vAlign w:val="center"/>
          </w:tcPr>
          <w:p w:rsidR="007A111F" w:rsidRPr="00CA669A" w:rsidRDefault="00EA269C" w:rsidP="005D73D0">
            <w:pPr>
              <w:spacing w:line="240" w:lineRule="auto"/>
              <w:ind w:left="0" w:hanging="2"/>
              <w:jc w:val="center"/>
            </w:pPr>
            <w:r w:rsidRPr="00CA669A">
              <w:rPr>
                <w:b/>
              </w:rPr>
              <w:t>Hazırlık</w:t>
            </w:r>
          </w:p>
        </w:tc>
        <w:tc>
          <w:tcPr>
            <w:tcW w:w="2980" w:type="dxa"/>
            <w:vAlign w:val="center"/>
          </w:tcPr>
          <w:p w:rsidR="007A111F" w:rsidRPr="00CA669A" w:rsidRDefault="00EA269C" w:rsidP="005D73D0">
            <w:pPr>
              <w:spacing w:line="240" w:lineRule="auto"/>
              <w:ind w:left="0" w:hanging="2"/>
              <w:jc w:val="center"/>
            </w:pPr>
            <w:r w:rsidRPr="00CA669A">
              <w:rPr>
                <w:b/>
              </w:rPr>
              <w:t>İleri İngilizce I ve</w:t>
            </w:r>
          </w:p>
          <w:p w:rsidR="007A111F" w:rsidRPr="00CA669A" w:rsidRDefault="00EA269C" w:rsidP="005D73D0">
            <w:pPr>
              <w:spacing w:line="240" w:lineRule="auto"/>
              <w:ind w:left="0" w:hanging="2"/>
              <w:jc w:val="center"/>
            </w:pPr>
            <w:r w:rsidRPr="00CA669A">
              <w:rPr>
                <w:b/>
              </w:rPr>
              <w:t>İleri İngilizce II</w:t>
            </w:r>
          </w:p>
        </w:tc>
      </w:tr>
      <w:tr w:rsidR="007A111F" w:rsidRPr="00CA669A" w:rsidTr="00D8307F">
        <w:trPr>
          <w:trHeight w:val="397"/>
          <w:jc w:val="center"/>
        </w:trPr>
        <w:tc>
          <w:tcPr>
            <w:tcW w:w="2205" w:type="dxa"/>
            <w:vAlign w:val="center"/>
          </w:tcPr>
          <w:p w:rsidR="007A111F" w:rsidRPr="00CA669A" w:rsidRDefault="00EA269C" w:rsidP="005D73D0">
            <w:pPr>
              <w:spacing w:line="240" w:lineRule="auto"/>
              <w:ind w:left="0" w:hanging="2"/>
              <w:jc w:val="center"/>
            </w:pPr>
            <w:r w:rsidRPr="00CA669A">
              <w:t>İYS</w:t>
            </w:r>
          </w:p>
        </w:tc>
        <w:tc>
          <w:tcPr>
            <w:tcW w:w="2779" w:type="dxa"/>
            <w:vAlign w:val="center"/>
          </w:tcPr>
          <w:p w:rsidR="007A111F" w:rsidRPr="00CA669A" w:rsidRDefault="00EA269C" w:rsidP="005D73D0">
            <w:pPr>
              <w:spacing w:line="240" w:lineRule="auto"/>
              <w:ind w:left="0" w:hanging="2"/>
              <w:jc w:val="center"/>
            </w:pPr>
            <w:r w:rsidRPr="00CA669A">
              <w:t>60 (CB / 2.50)</w:t>
            </w:r>
          </w:p>
        </w:tc>
        <w:tc>
          <w:tcPr>
            <w:tcW w:w="2980" w:type="dxa"/>
            <w:vAlign w:val="center"/>
          </w:tcPr>
          <w:p w:rsidR="007A111F" w:rsidRPr="00CA669A" w:rsidRDefault="00EA269C" w:rsidP="005D73D0">
            <w:pPr>
              <w:spacing w:line="240" w:lineRule="auto"/>
              <w:ind w:left="0" w:hanging="2"/>
              <w:jc w:val="center"/>
            </w:pPr>
            <w:r w:rsidRPr="00CA669A">
              <w:t>70 (BB / 3.00)</w:t>
            </w:r>
          </w:p>
        </w:tc>
      </w:tr>
    </w:tbl>
    <w:p w:rsidR="007A111F" w:rsidRPr="00CA669A" w:rsidRDefault="007A111F" w:rsidP="005D73D0">
      <w:pPr>
        <w:spacing w:line="240" w:lineRule="auto"/>
        <w:ind w:left="0" w:hanging="2"/>
        <w:jc w:val="both"/>
      </w:pPr>
    </w:p>
    <w:p w:rsidR="007A111F" w:rsidRDefault="0093169B" w:rsidP="005D73D0">
      <w:pPr>
        <w:spacing w:line="240" w:lineRule="auto"/>
        <w:ind w:left="0" w:hanging="2"/>
        <w:jc w:val="both"/>
      </w:pPr>
      <w:r>
        <w:t>(</w:t>
      </w:r>
      <w:r w:rsidR="00EA269C" w:rsidRPr="00CA669A">
        <w:t>2) İYS b</w:t>
      </w:r>
      <w:r w:rsidR="00281098">
        <w:t>aşarı puanlarının harf karşılıkları ve değerleri</w:t>
      </w:r>
      <w:r w:rsidR="00EA269C" w:rsidRPr="00CA669A">
        <w:t xml:space="preserve"> </w:t>
      </w:r>
      <w:r w:rsidR="00281098">
        <w:t>aşağıdadır</w:t>
      </w:r>
      <w:r w:rsidR="00EA269C" w:rsidRPr="00CA669A">
        <w:t>:</w:t>
      </w:r>
    </w:p>
    <w:tbl>
      <w:tblPr>
        <w:tblStyle w:val="a0"/>
        <w:tblW w:w="79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1"/>
        <w:gridCol w:w="1442"/>
        <w:gridCol w:w="1494"/>
        <w:gridCol w:w="1643"/>
      </w:tblGrid>
      <w:tr w:rsidR="007A111F" w:rsidRPr="00CA669A" w:rsidTr="00FA031F">
        <w:trPr>
          <w:trHeight w:val="340"/>
          <w:jc w:val="center"/>
        </w:trPr>
        <w:tc>
          <w:tcPr>
            <w:tcW w:w="7970" w:type="dxa"/>
            <w:gridSpan w:val="4"/>
            <w:vAlign w:val="center"/>
          </w:tcPr>
          <w:p w:rsidR="007A111F" w:rsidRPr="00CA669A" w:rsidRDefault="00EA269C" w:rsidP="005D73D0">
            <w:pPr>
              <w:spacing w:line="240" w:lineRule="auto"/>
              <w:ind w:left="0" w:hanging="2"/>
              <w:jc w:val="center"/>
            </w:pPr>
            <w:r w:rsidRPr="00CA669A">
              <w:rPr>
                <w:b/>
              </w:rPr>
              <w:t>BAŞARI PUANLARI VE HARF KARŞILIĞI DEĞERLERİ</w:t>
            </w:r>
          </w:p>
        </w:tc>
      </w:tr>
      <w:tr w:rsidR="007A111F" w:rsidRPr="00CA669A" w:rsidTr="00FA031F">
        <w:trPr>
          <w:trHeight w:val="340"/>
          <w:jc w:val="center"/>
        </w:trPr>
        <w:tc>
          <w:tcPr>
            <w:tcW w:w="3391" w:type="dxa"/>
            <w:vAlign w:val="center"/>
          </w:tcPr>
          <w:p w:rsidR="007A111F" w:rsidRPr="00CA669A" w:rsidRDefault="00EA269C" w:rsidP="005D73D0">
            <w:pPr>
              <w:spacing w:line="240" w:lineRule="auto"/>
              <w:ind w:left="0" w:hanging="2"/>
              <w:jc w:val="center"/>
            </w:pPr>
            <w:r w:rsidRPr="00CA669A">
              <w:rPr>
                <w:b/>
              </w:rPr>
              <w:t>Standart Yüzdesel Aralıklar</w:t>
            </w:r>
          </w:p>
        </w:tc>
        <w:tc>
          <w:tcPr>
            <w:tcW w:w="1442" w:type="dxa"/>
            <w:vAlign w:val="center"/>
          </w:tcPr>
          <w:p w:rsidR="007A111F" w:rsidRPr="00CA669A" w:rsidRDefault="00EA269C" w:rsidP="005D73D0">
            <w:pPr>
              <w:spacing w:line="240" w:lineRule="auto"/>
              <w:ind w:left="0" w:hanging="2"/>
              <w:jc w:val="center"/>
            </w:pPr>
            <w:r w:rsidRPr="00CA669A">
              <w:rPr>
                <w:b/>
              </w:rPr>
              <w:t>Harf</w:t>
            </w:r>
          </w:p>
        </w:tc>
        <w:tc>
          <w:tcPr>
            <w:tcW w:w="1494" w:type="dxa"/>
            <w:vAlign w:val="center"/>
          </w:tcPr>
          <w:p w:rsidR="007A111F" w:rsidRPr="00CA669A" w:rsidRDefault="00EA269C" w:rsidP="005D73D0">
            <w:pPr>
              <w:spacing w:line="240" w:lineRule="auto"/>
              <w:ind w:left="0" w:hanging="2"/>
              <w:jc w:val="center"/>
            </w:pPr>
            <w:r w:rsidRPr="00CA669A">
              <w:rPr>
                <w:b/>
              </w:rPr>
              <w:t>Sayısal</w:t>
            </w:r>
          </w:p>
        </w:tc>
        <w:tc>
          <w:tcPr>
            <w:tcW w:w="1643" w:type="dxa"/>
            <w:vAlign w:val="center"/>
          </w:tcPr>
          <w:p w:rsidR="007A111F" w:rsidRPr="00CA669A" w:rsidRDefault="00EA269C" w:rsidP="005D73D0">
            <w:pPr>
              <w:spacing w:line="240" w:lineRule="auto"/>
              <w:ind w:left="0" w:hanging="2"/>
              <w:jc w:val="center"/>
            </w:pPr>
            <w:r w:rsidRPr="00CA669A">
              <w:rPr>
                <w:b/>
              </w:rPr>
              <w:t>Sözel</w:t>
            </w:r>
          </w:p>
        </w:tc>
      </w:tr>
      <w:tr w:rsidR="007A111F" w:rsidRPr="00CA669A" w:rsidTr="00FA031F">
        <w:trPr>
          <w:trHeight w:val="340"/>
          <w:jc w:val="center"/>
        </w:trPr>
        <w:tc>
          <w:tcPr>
            <w:tcW w:w="3391" w:type="dxa"/>
            <w:vAlign w:val="center"/>
          </w:tcPr>
          <w:p w:rsidR="007A111F" w:rsidRPr="00CA669A" w:rsidRDefault="00EA269C" w:rsidP="005D73D0">
            <w:pPr>
              <w:spacing w:line="240" w:lineRule="auto"/>
              <w:ind w:left="0" w:hanging="2"/>
              <w:jc w:val="center"/>
            </w:pPr>
            <w:r w:rsidRPr="00CA669A">
              <w:t>90-100</w:t>
            </w:r>
          </w:p>
        </w:tc>
        <w:tc>
          <w:tcPr>
            <w:tcW w:w="1442" w:type="dxa"/>
            <w:vAlign w:val="center"/>
          </w:tcPr>
          <w:p w:rsidR="007A111F" w:rsidRPr="00CA669A" w:rsidRDefault="00533AB5" w:rsidP="005D73D0">
            <w:pPr>
              <w:spacing w:line="240" w:lineRule="auto"/>
              <w:ind w:left="0" w:hanging="2"/>
            </w:pPr>
            <w:r>
              <w:t xml:space="preserve">       </w:t>
            </w:r>
            <w:r w:rsidR="00EA269C" w:rsidRPr="00CA669A">
              <w:t>AA</w:t>
            </w:r>
          </w:p>
        </w:tc>
        <w:tc>
          <w:tcPr>
            <w:tcW w:w="1494" w:type="dxa"/>
            <w:vAlign w:val="center"/>
          </w:tcPr>
          <w:p w:rsidR="007A111F" w:rsidRPr="00CA669A" w:rsidRDefault="00EA269C" w:rsidP="005D73D0">
            <w:pPr>
              <w:spacing w:line="240" w:lineRule="auto"/>
              <w:ind w:left="0" w:hanging="2"/>
              <w:jc w:val="center"/>
            </w:pPr>
            <w:r w:rsidRPr="00CA669A">
              <w:t>4.00</w:t>
            </w:r>
          </w:p>
        </w:tc>
        <w:tc>
          <w:tcPr>
            <w:tcW w:w="1643" w:type="dxa"/>
            <w:vAlign w:val="center"/>
          </w:tcPr>
          <w:p w:rsidR="007A111F" w:rsidRPr="00CA669A" w:rsidRDefault="00EA269C" w:rsidP="005D73D0">
            <w:pPr>
              <w:spacing w:line="240" w:lineRule="auto"/>
              <w:ind w:left="0" w:hanging="2"/>
              <w:jc w:val="center"/>
            </w:pPr>
            <w:r w:rsidRPr="00CA669A">
              <w:t>Başarılı</w:t>
            </w:r>
          </w:p>
        </w:tc>
      </w:tr>
      <w:tr w:rsidR="007A111F" w:rsidRPr="00CA669A" w:rsidTr="00FA031F">
        <w:trPr>
          <w:trHeight w:val="340"/>
          <w:jc w:val="center"/>
        </w:trPr>
        <w:tc>
          <w:tcPr>
            <w:tcW w:w="3391" w:type="dxa"/>
            <w:vAlign w:val="center"/>
          </w:tcPr>
          <w:p w:rsidR="007A111F" w:rsidRPr="00CA669A" w:rsidRDefault="00EA269C" w:rsidP="005D73D0">
            <w:pPr>
              <w:spacing w:line="240" w:lineRule="auto"/>
              <w:ind w:left="0" w:hanging="2"/>
              <w:jc w:val="center"/>
            </w:pPr>
            <w:r w:rsidRPr="00CA669A">
              <w:t>80-89</w:t>
            </w:r>
          </w:p>
        </w:tc>
        <w:tc>
          <w:tcPr>
            <w:tcW w:w="1442" w:type="dxa"/>
            <w:vAlign w:val="center"/>
          </w:tcPr>
          <w:p w:rsidR="007A111F" w:rsidRPr="00CA669A" w:rsidRDefault="00EA269C" w:rsidP="005D73D0">
            <w:pPr>
              <w:spacing w:line="240" w:lineRule="auto"/>
              <w:ind w:left="0" w:hanging="2"/>
              <w:jc w:val="center"/>
            </w:pPr>
            <w:r w:rsidRPr="00CA669A">
              <w:t>BA</w:t>
            </w:r>
          </w:p>
        </w:tc>
        <w:tc>
          <w:tcPr>
            <w:tcW w:w="1494" w:type="dxa"/>
            <w:vAlign w:val="center"/>
          </w:tcPr>
          <w:p w:rsidR="007A111F" w:rsidRPr="00CA669A" w:rsidRDefault="00EA269C" w:rsidP="005D73D0">
            <w:pPr>
              <w:spacing w:line="240" w:lineRule="auto"/>
              <w:ind w:left="0" w:hanging="2"/>
              <w:jc w:val="center"/>
            </w:pPr>
            <w:r w:rsidRPr="00CA669A">
              <w:t>3.50</w:t>
            </w:r>
          </w:p>
        </w:tc>
        <w:tc>
          <w:tcPr>
            <w:tcW w:w="1643" w:type="dxa"/>
            <w:vAlign w:val="center"/>
          </w:tcPr>
          <w:p w:rsidR="007A111F" w:rsidRPr="00CA669A" w:rsidRDefault="00EA269C" w:rsidP="005D73D0">
            <w:pPr>
              <w:spacing w:line="240" w:lineRule="auto"/>
              <w:ind w:left="0" w:hanging="2"/>
              <w:jc w:val="center"/>
            </w:pPr>
            <w:r w:rsidRPr="00CA669A">
              <w:t>Başarılı</w:t>
            </w:r>
          </w:p>
        </w:tc>
      </w:tr>
      <w:tr w:rsidR="007A111F" w:rsidRPr="00CA669A" w:rsidTr="00FA031F">
        <w:trPr>
          <w:trHeight w:val="340"/>
          <w:jc w:val="center"/>
        </w:trPr>
        <w:tc>
          <w:tcPr>
            <w:tcW w:w="3391" w:type="dxa"/>
            <w:vAlign w:val="center"/>
          </w:tcPr>
          <w:p w:rsidR="007A111F" w:rsidRPr="00CA669A" w:rsidRDefault="00EA269C" w:rsidP="005D73D0">
            <w:pPr>
              <w:spacing w:line="240" w:lineRule="auto"/>
              <w:ind w:left="0" w:hanging="2"/>
              <w:jc w:val="center"/>
            </w:pPr>
            <w:r w:rsidRPr="00CA669A">
              <w:t>70-79</w:t>
            </w:r>
          </w:p>
        </w:tc>
        <w:tc>
          <w:tcPr>
            <w:tcW w:w="1442" w:type="dxa"/>
            <w:vAlign w:val="center"/>
          </w:tcPr>
          <w:p w:rsidR="007A111F" w:rsidRPr="00CA669A" w:rsidRDefault="00EA269C" w:rsidP="005D73D0">
            <w:pPr>
              <w:spacing w:line="240" w:lineRule="auto"/>
              <w:ind w:left="0" w:hanging="2"/>
              <w:jc w:val="center"/>
            </w:pPr>
            <w:r w:rsidRPr="00CA669A">
              <w:t>BB</w:t>
            </w:r>
          </w:p>
        </w:tc>
        <w:tc>
          <w:tcPr>
            <w:tcW w:w="1494" w:type="dxa"/>
            <w:vAlign w:val="center"/>
          </w:tcPr>
          <w:p w:rsidR="007A111F" w:rsidRPr="00CA669A" w:rsidRDefault="00EA269C" w:rsidP="005D73D0">
            <w:pPr>
              <w:spacing w:line="240" w:lineRule="auto"/>
              <w:ind w:left="0" w:hanging="2"/>
              <w:jc w:val="center"/>
            </w:pPr>
            <w:r w:rsidRPr="00CA669A">
              <w:t>3.00</w:t>
            </w:r>
          </w:p>
        </w:tc>
        <w:tc>
          <w:tcPr>
            <w:tcW w:w="1643" w:type="dxa"/>
            <w:vAlign w:val="center"/>
          </w:tcPr>
          <w:p w:rsidR="007A111F" w:rsidRPr="00CA669A" w:rsidRDefault="00EA269C" w:rsidP="005D73D0">
            <w:pPr>
              <w:spacing w:line="240" w:lineRule="auto"/>
              <w:ind w:left="0" w:hanging="2"/>
              <w:jc w:val="center"/>
            </w:pPr>
            <w:r w:rsidRPr="00CA669A">
              <w:t>Başarılı</w:t>
            </w:r>
          </w:p>
        </w:tc>
      </w:tr>
      <w:tr w:rsidR="007A111F" w:rsidRPr="00CA669A" w:rsidTr="00FA031F">
        <w:trPr>
          <w:trHeight w:val="340"/>
          <w:jc w:val="center"/>
        </w:trPr>
        <w:tc>
          <w:tcPr>
            <w:tcW w:w="3391" w:type="dxa"/>
            <w:vAlign w:val="center"/>
          </w:tcPr>
          <w:p w:rsidR="007A111F" w:rsidRPr="00CA669A" w:rsidRDefault="00EA269C" w:rsidP="005D73D0">
            <w:pPr>
              <w:spacing w:line="240" w:lineRule="auto"/>
              <w:ind w:left="0" w:hanging="2"/>
              <w:jc w:val="center"/>
            </w:pPr>
            <w:r w:rsidRPr="00CA669A">
              <w:t>60-69</w:t>
            </w:r>
          </w:p>
        </w:tc>
        <w:tc>
          <w:tcPr>
            <w:tcW w:w="1442" w:type="dxa"/>
            <w:vAlign w:val="center"/>
          </w:tcPr>
          <w:p w:rsidR="007A111F" w:rsidRPr="00CA669A" w:rsidRDefault="00EA269C" w:rsidP="005D73D0">
            <w:pPr>
              <w:spacing w:line="240" w:lineRule="auto"/>
              <w:ind w:left="0" w:hanging="2"/>
              <w:jc w:val="center"/>
            </w:pPr>
            <w:r w:rsidRPr="00CA669A">
              <w:t>CB</w:t>
            </w:r>
          </w:p>
        </w:tc>
        <w:tc>
          <w:tcPr>
            <w:tcW w:w="1494" w:type="dxa"/>
            <w:vAlign w:val="center"/>
          </w:tcPr>
          <w:p w:rsidR="007A111F" w:rsidRPr="00CA669A" w:rsidRDefault="00EA269C" w:rsidP="005D73D0">
            <w:pPr>
              <w:spacing w:line="240" w:lineRule="auto"/>
              <w:ind w:left="0" w:hanging="2"/>
              <w:jc w:val="center"/>
            </w:pPr>
            <w:r w:rsidRPr="00CA669A">
              <w:t>2.50</w:t>
            </w:r>
          </w:p>
        </w:tc>
        <w:tc>
          <w:tcPr>
            <w:tcW w:w="1643" w:type="dxa"/>
            <w:vAlign w:val="center"/>
          </w:tcPr>
          <w:p w:rsidR="007A111F" w:rsidRPr="00CA669A" w:rsidRDefault="00EA269C" w:rsidP="005D73D0">
            <w:pPr>
              <w:spacing w:line="240" w:lineRule="auto"/>
              <w:ind w:left="0" w:hanging="2"/>
              <w:jc w:val="center"/>
            </w:pPr>
            <w:r w:rsidRPr="00CA669A">
              <w:t>Başarılı</w:t>
            </w:r>
          </w:p>
        </w:tc>
      </w:tr>
      <w:tr w:rsidR="00FB6F21" w:rsidRPr="00CA669A" w:rsidTr="00FA031F">
        <w:trPr>
          <w:trHeight w:val="340"/>
          <w:jc w:val="center"/>
        </w:trPr>
        <w:tc>
          <w:tcPr>
            <w:tcW w:w="3391" w:type="dxa"/>
            <w:vAlign w:val="center"/>
          </w:tcPr>
          <w:p w:rsidR="00FB6F21" w:rsidRPr="00CA669A" w:rsidRDefault="00FB6F21" w:rsidP="005D73D0">
            <w:pPr>
              <w:spacing w:line="240" w:lineRule="auto"/>
              <w:ind w:left="0" w:hanging="2"/>
              <w:jc w:val="center"/>
            </w:pPr>
            <w:r w:rsidRPr="00CA669A">
              <w:t>0-59</w:t>
            </w:r>
          </w:p>
        </w:tc>
        <w:tc>
          <w:tcPr>
            <w:tcW w:w="4579" w:type="dxa"/>
            <w:gridSpan w:val="3"/>
            <w:vAlign w:val="center"/>
          </w:tcPr>
          <w:p w:rsidR="00FB6F21" w:rsidRPr="00CA669A" w:rsidRDefault="00FB6F21" w:rsidP="005D73D0">
            <w:pPr>
              <w:spacing w:line="240" w:lineRule="auto"/>
              <w:ind w:left="0" w:hanging="2"/>
              <w:jc w:val="center"/>
            </w:pPr>
            <w:r w:rsidRPr="00CA669A">
              <w:t>Başarısız</w:t>
            </w:r>
          </w:p>
        </w:tc>
      </w:tr>
    </w:tbl>
    <w:p w:rsidR="007A111F" w:rsidRPr="00CA669A" w:rsidRDefault="007A111F" w:rsidP="005D73D0">
      <w:pPr>
        <w:spacing w:line="240" w:lineRule="auto"/>
        <w:ind w:left="0" w:hanging="2"/>
        <w:jc w:val="both"/>
      </w:pPr>
    </w:p>
    <w:p w:rsidR="00FA031F" w:rsidRPr="00023806" w:rsidRDefault="006B71CC"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FA031F">
        <w:t>(3) Üniversiteye ilk kayıt yoluyla gelen ve aşağıdaki koşullardan herhangi birini sağlayan öğrenciler, İngilizce hazırlık öğretiminden CB harf notu ile muaf sayılırlar.</w:t>
      </w:r>
      <w:r w:rsidR="00FA031F" w:rsidRPr="00FA031F">
        <w:t xml:space="preserve"> </w:t>
      </w:r>
    </w:p>
    <w:p w:rsidR="007A111F" w:rsidRPr="00796538" w:rsidRDefault="0093169B" w:rsidP="00FA031F">
      <w:pPr>
        <w:spacing w:line="240" w:lineRule="auto"/>
        <w:ind w:leftChars="0" w:left="0" w:firstLineChars="0" w:firstLine="426"/>
        <w:jc w:val="both"/>
      </w:pPr>
      <w:r w:rsidRPr="00796538">
        <w:t xml:space="preserve">a) </w:t>
      </w:r>
      <w:r w:rsidR="003923D0" w:rsidRPr="00796538">
        <w:t>Güz</w:t>
      </w:r>
      <w:r w:rsidR="003E2CF5" w:rsidRPr="00796538">
        <w:t xml:space="preserve"> y</w:t>
      </w:r>
      <w:r w:rsidR="00EA269C" w:rsidRPr="00796538">
        <w:t xml:space="preserve">arıyılı başında yapılan </w:t>
      </w:r>
      <w:proofErr w:type="spellStart"/>
      <w:r w:rsidR="00EA269C" w:rsidRPr="00796538">
        <w:t>İ</w:t>
      </w:r>
      <w:r w:rsidR="00533AB5" w:rsidRPr="00796538">
        <w:t>YS’den</w:t>
      </w:r>
      <w:proofErr w:type="spellEnd"/>
      <w:r w:rsidR="00533AB5" w:rsidRPr="00796538">
        <w:t xml:space="preserve"> en az 60 </w:t>
      </w:r>
      <w:r w:rsidR="00112B89">
        <w:t xml:space="preserve">(altmış) </w:t>
      </w:r>
      <w:r w:rsidR="00533AB5" w:rsidRPr="00796538">
        <w:t>puan alan</w:t>
      </w:r>
      <w:r w:rsidR="006071BE" w:rsidRPr="00796538">
        <w:t xml:space="preserve"> öğrenciler,</w:t>
      </w:r>
    </w:p>
    <w:p w:rsidR="007A111F" w:rsidRPr="00796538" w:rsidRDefault="0093169B" w:rsidP="00FA031F">
      <w:pPr>
        <w:spacing w:line="240" w:lineRule="auto"/>
        <w:ind w:leftChars="0" w:left="0" w:firstLineChars="0" w:firstLine="426"/>
        <w:jc w:val="both"/>
      </w:pPr>
      <w:r w:rsidRPr="00796538">
        <w:t>b)</w:t>
      </w:r>
      <w:r w:rsidR="000D4ACC">
        <w:t xml:space="preserve"> </w:t>
      </w:r>
      <w:r w:rsidR="003A76D5" w:rsidRPr="00796538">
        <w:t>A</w:t>
      </w:r>
      <w:r w:rsidR="00B261B2" w:rsidRPr="00796538">
        <w:t>na dili</w:t>
      </w:r>
      <w:r w:rsidR="003A76D5" w:rsidRPr="00796538">
        <w:t xml:space="preserve"> İngilizce olan bir ülkede öğretim dilinin de İngilizce olduğu </w:t>
      </w:r>
      <w:r w:rsidR="00EA269C" w:rsidRPr="00796538">
        <w:t>ortaöğretim kurumlarında</w:t>
      </w:r>
      <w:r w:rsidR="003A76D5" w:rsidRPr="00796538">
        <w:t xml:space="preserve"> en az son üç yılında</w:t>
      </w:r>
      <w:r w:rsidR="00EA269C" w:rsidRPr="00796538">
        <w:t xml:space="preserve"> eğitim görüp ortaöğrenimin</w:t>
      </w:r>
      <w:r w:rsidR="003E2CF5" w:rsidRPr="00796538">
        <w:t>i bu kurumlarda tamamlamış ol</w:t>
      </w:r>
      <w:r w:rsidR="006071BE" w:rsidRPr="00796538">
        <w:t>an öğrenciler</w:t>
      </w:r>
      <w:r w:rsidR="00545D6C" w:rsidRPr="00796538">
        <w:t>,</w:t>
      </w:r>
      <w:r w:rsidR="003E2CF5" w:rsidRPr="00796538">
        <w:t xml:space="preserve"> </w:t>
      </w:r>
    </w:p>
    <w:p w:rsidR="00FA031F" w:rsidRPr="00023806" w:rsidRDefault="00ED29AA"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426"/>
        <w:jc w:val="both"/>
        <w:textDirection w:val="lrTb"/>
        <w:textAlignment w:val="auto"/>
        <w:outlineLvl w:val="9"/>
        <w:rPr>
          <w:strike/>
        </w:rPr>
      </w:pPr>
      <w:r w:rsidRPr="00FA031F">
        <w:t>c) Son 3 (üç) yıl içinde Üniversite’de İngilizce hazırlık öğretiminden başarılı olduğunu gösterir belgeye sahip olan öğrenciler,</w:t>
      </w:r>
      <w:r w:rsidR="00FA031F" w:rsidRPr="00FA031F">
        <w:t xml:space="preserve"> </w:t>
      </w:r>
    </w:p>
    <w:p w:rsidR="00FA031F" w:rsidRPr="00023806" w:rsidRDefault="00791B94"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426"/>
        <w:jc w:val="both"/>
        <w:textDirection w:val="lrTb"/>
        <w:textAlignment w:val="auto"/>
        <w:outlineLvl w:val="9"/>
        <w:rPr>
          <w:strike/>
        </w:rPr>
      </w:pPr>
      <w:r w:rsidRPr="00940728">
        <w:t>ç) Hazırlık öğretimini başarı ile tamamlamış Üniversite öğrencilerinden, merkezi yatay geçiş yolu ile Üniversitenin bir başka %30 ve üzeri İngilizce eğitim veren bölümüne (kurum içi) kayıt yaptıran öğrenciler,</w:t>
      </w:r>
      <w:r w:rsidR="00FA031F">
        <w:t xml:space="preserve"> </w:t>
      </w:r>
    </w:p>
    <w:p w:rsidR="00FA031F" w:rsidRPr="00023806" w:rsidRDefault="009E1DB0"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426"/>
        <w:jc w:val="both"/>
        <w:textDirection w:val="lrTb"/>
        <w:textAlignment w:val="auto"/>
        <w:outlineLvl w:val="9"/>
        <w:rPr>
          <w:strike/>
        </w:rPr>
      </w:pPr>
      <w:r>
        <w:t>d) Üniversite</w:t>
      </w:r>
      <w:r w:rsidRPr="00CA669A">
        <w:t xml:space="preserve"> öğrencisi iken merkezi yatay geçiş</w:t>
      </w:r>
      <w:r>
        <w:t xml:space="preserve"> yolu</w:t>
      </w:r>
      <w:r w:rsidRPr="00CA669A">
        <w:t xml:space="preserve"> ile </w:t>
      </w:r>
      <w:r>
        <w:t>Üniversitenin</w:t>
      </w:r>
      <w:r w:rsidRPr="00CA669A">
        <w:t xml:space="preserve"> bir başka %30 ve üzeri İngilizce </w:t>
      </w:r>
      <w:r>
        <w:t xml:space="preserve">öğretim </w:t>
      </w:r>
      <w:r w:rsidRPr="00CA669A">
        <w:t>veya %100 Türkçe eğitim veren bölümlerine kayıt yaptıran öğrencilerin Modern Dill</w:t>
      </w:r>
      <w:r>
        <w:t xml:space="preserve">er Bölümü tarafından yürütülen </w:t>
      </w:r>
      <w:r w:rsidRPr="00CA669A">
        <w:t xml:space="preserve">İngilizce derslerinin muafiyet/intibak işlemleri Yönetim Kurulu </w:t>
      </w:r>
      <w:r>
        <w:t>tarafından “</w:t>
      </w:r>
      <w:r w:rsidRPr="00CA669A">
        <w:t>YTÜ Ders Eşdeğerlilik ve İntibak Esasları</w:t>
      </w:r>
      <w:r>
        <w:t>”</w:t>
      </w:r>
      <w:r w:rsidRPr="00CA669A">
        <w:t xml:space="preserve"> çerçevesinde </w:t>
      </w:r>
      <w:r>
        <w:t>yürütülür.</w:t>
      </w:r>
      <w:r w:rsidRPr="00CA669A">
        <w:t xml:space="preserve"> </w:t>
      </w:r>
    </w:p>
    <w:p w:rsidR="00FA031F" w:rsidRPr="00023806" w:rsidRDefault="001151B9"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proofErr w:type="gramStart"/>
      <w:r w:rsidRPr="00FA031F">
        <w:lastRenderedPageBreak/>
        <w:t xml:space="preserve">4) Senato tarafından </w:t>
      </w:r>
      <w:proofErr w:type="spellStart"/>
      <w:r w:rsidRPr="00FA031F">
        <w:t>İYS’ye</w:t>
      </w:r>
      <w:proofErr w:type="spellEnd"/>
      <w:r w:rsidRPr="00FA031F">
        <w:t xml:space="preserve"> eşdeğer kabul edilen ulusal sınavların herhangi birinden son 5 (beş) yıl içinde yeterli puanı almış olan öğrenciler ile Senato tarafından </w:t>
      </w:r>
      <w:proofErr w:type="spellStart"/>
      <w:r w:rsidRPr="00FA031F">
        <w:t>İYS’ye</w:t>
      </w:r>
      <w:proofErr w:type="spellEnd"/>
      <w:r w:rsidRPr="00FA031F">
        <w:t xml:space="preserve"> eşdeğer kabul edilen uluslararası sınavların herhangi birinden geçerlilik süresi içinde yeterli puanı almış olan öğrencilerin hazırlık öğretiminden muafiyet için gereken puan aralıkları ve başarı notları aşağıdaki tabloda yer alan şekilde uygulanır.</w:t>
      </w:r>
      <w:r w:rsidR="00FA031F" w:rsidRPr="00FA031F">
        <w:t xml:space="preserve"> </w:t>
      </w:r>
      <w:proofErr w:type="gramEnd"/>
    </w:p>
    <w:p w:rsidR="009121FF" w:rsidRPr="00FA031F" w:rsidRDefault="009121FF" w:rsidP="009121FF">
      <w:pPr>
        <w:spacing w:line="240" w:lineRule="auto"/>
        <w:ind w:left="0" w:hanging="2"/>
        <w:jc w:val="center"/>
        <w:rPr>
          <w:b/>
        </w:rPr>
      </w:pPr>
      <w:r w:rsidRPr="00FA031F">
        <w:rPr>
          <w:b/>
        </w:rPr>
        <w:t xml:space="preserve">İngilizce Dil Sınavlarının Eşdeğerliğine İlişkin </w:t>
      </w:r>
    </w:p>
    <w:p w:rsidR="009121FF" w:rsidRPr="00FA031F" w:rsidRDefault="009121FF" w:rsidP="009121FF">
      <w:pPr>
        <w:spacing w:line="240" w:lineRule="auto"/>
        <w:ind w:left="0" w:hanging="2"/>
        <w:jc w:val="center"/>
        <w:rPr>
          <w:b/>
        </w:rPr>
      </w:pPr>
      <w:r w:rsidRPr="00FA031F">
        <w:rPr>
          <w:b/>
        </w:rPr>
        <w:t xml:space="preserve">Puan Aralıkları ve Başarı Notları Tablosu </w:t>
      </w:r>
    </w:p>
    <w:p w:rsidR="009121FF" w:rsidRPr="00FA031F" w:rsidRDefault="009121FF" w:rsidP="009121FF">
      <w:pPr>
        <w:spacing w:line="240" w:lineRule="auto"/>
        <w:ind w:right="423"/>
        <w:jc w:val="both"/>
        <w:rPr>
          <w:sz w:val="10"/>
          <w:szCs w:val="10"/>
        </w:rPr>
      </w:pPr>
    </w:p>
    <w:tbl>
      <w:tblPr>
        <w:tblStyle w:val="a1"/>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1418"/>
        <w:gridCol w:w="1417"/>
        <w:gridCol w:w="1418"/>
        <w:gridCol w:w="1417"/>
      </w:tblGrid>
      <w:tr w:rsidR="009121FF" w:rsidRPr="00FA031F" w:rsidTr="003D62C1">
        <w:tc>
          <w:tcPr>
            <w:tcW w:w="3652" w:type="dxa"/>
          </w:tcPr>
          <w:p w:rsidR="009121FF" w:rsidRPr="00FA031F" w:rsidRDefault="009121FF" w:rsidP="003D62C1">
            <w:pPr>
              <w:spacing w:line="240" w:lineRule="auto"/>
              <w:ind w:left="0" w:hanging="2"/>
              <w:rPr>
                <w:sz w:val="22"/>
                <w:szCs w:val="22"/>
              </w:rPr>
            </w:pPr>
            <w:r w:rsidRPr="00FA031F">
              <w:rPr>
                <w:b/>
                <w:sz w:val="22"/>
                <w:szCs w:val="22"/>
              </w:rPr>
              <w:t>Sınavlar</w:t>
            </w:r>
          </w:p>
        </w:tc>
        <w:tc>
          <w:tcPr>
            <w:tcW w:w="1418" w:type="dxa"/>
          </w:tcPr>
          <w:p w:rsidR="009121FF" w:rsidRPr="00FA031F" w:rsidRDefault="009121FF" w:rsidP="003D62C1">
            <w:pPr>
              <w:spacing w:line="240" w:lineRule="auto"/>
              <w:ind w:left="0" w:hanging="2"/>
              <w:jc w:val="center"/>
              <w:rPr>
                <w:b/>
                <w:bCs/>
                <w:sz w:val="22"/>
                <w:szCs w:val="22"/>
              </w:rPr>
            </w:pPr>
            <w:r w:rsidRPr="00FA031F">
              <w:rPr>
                <w:b/>
                <w:bCs/>
                <w:sz w:val="22"/>
                <w:szCs w:val="22"/>
              </w:rPr>
              <w:t>CB</w:t>
            </w:r>
          </w:p>
        </w:tc>
        <w:tc>
          <w:tcPr>
            <w:tcW w:w="1417" w:type="dxa"/>
          </w:tcPr>
          <w:p w:rsidR="009121FF" w:rsidRPr="00FA031F" w:rsidRDefault="009121FF" w:rsidP="003D62C1">
            <w:pPr>
              <w:spacing w:line="240" w:lineRule="auto"/>
              <w:ind w:left="0" w:hanging="2"/>
              <w:jc w:val="center"/>
              <w:rPr>
                <w:b/>
                <w:bCs/>
                <w:sz w:val="22"/>
                <w:szCs w:val="22"/>
              </w:rPr>
            </w:pPr>
            <w:r w:rsidRPr="00FA031F">
              <w:rPr>
                <w:b/>
                <w:bCs/>
                <w:sz w:val="22"/>
                <w:szCs w:val="22"/>
              </w:rPr>
              <w:t>BB</w:t>
            </w:r>
          </w:p>
        </w:tc>
        <w:tc>
          <w:tcPr>
            <w:tcW w:w="1418" w:type="dxa"/>
          </w:tcPr>
          <w:p w:rsidR="009121FF" w:rsidRPr="00FA031F" w:rsidRDefault="009121FF" w:rsidP="003D62C1">
            <w:pPr>
              <w:spacing w:line="240" w:lineRule="auto"/>
              <w:ind w:left="0" w:hanging="2"/>
              <w:jc w:val="center"/>
              <w:rPr>
                <w:b/>
                <w:bCs/>
                <w:sz w:val="22"/>
                <w:szCs w:val="22"/>
              </w:rPr>
            </w:pPr>
            <w:r w:rsidRPr="00FA031F">
              <w:rPr>
                <w:b/>
                <w:bCs/>
                <w:sz w:val="22"/>
                <w:szCs w:val="22"/>
              </w:rPr>
              <w:t>BA</w:t>
            </w:r>
          </w:p>
        </w:tc>
        <w:tc>
          <w:tcPr>
            <w:tcW w:w="1417" w:type="dxa"/>
          </w:tcPr>
          <w:p w:rsidR="009121FF" w:rsidRPr="00FA031F" w:rsidRDefault="009121FF" w:rsidP="003D62C1">
            <w:pPr>
              <w:spacing w:line="240" w:lineRule="auto"/>
              <w:ind w:left="0" w:hanging="2"/>
              <w:jc w:val="center"/>
              <w:rPr>
                <w:b/>
                <w:bCs/>
                <w:sz w:val="22"/>
                <w:szCs w:val="22"/>
              </w:rPr>
            </w:pPr>
            <w:r w:rsidRPr="00FA031F">
              <w:rPr>
                <w:b/>
                <w:bCs/>
                <w:sz w:val="22"/>
                <w:szCs w:val="22"/>
              </w:rPr>
              <w:t>AA</w:t>
            </w:r>
          </w:p>
        </w:tc>
      </w:tr>
      <w:tr w:rsidR="009121FF" w:rsidRPr="00FA031F" w:rsidTr="003D62C1">
        <w:tc>
          <w:tcPr>
            <w:tcW w:w="3652" w:type="dxa"/>
          </w:tcPr>
          <w:p w:rsidR="009121FF" w:rsidRPr="00FA031F" w:rsidRDefault="009121FF" w:rsidP="003D62C1">
            <w:pPr>
              <w:spacing w:line="240" w:lineRule="auto"/>
              <w:ind w:leftChars="0" w:left="0" w:firstLineChars="0" w:firstLine="0"/>
              <w:rPr>
                <w:bCs/>
                <w:sz w:val="22"/>
                <w:szCs w:val="22"/>
              </w:rPr>
            </w:pPr>
            <w:r w:rsidRPr="00FA031F">
              <w:rPr>
                <w:bCs/>
                <w:sz w:val="22"/>
                <w:szCs w:val="22"/>
              </w:rPr>
              <w:t>İYS</w:t>
            </w:r>
          </w:p>
        </w:tc>
        <w:tc>
          <w:tcPr>
            <w:tcW w:w="1418" w:type="dxa"/>
          </w:tcPr>
          <w:p w:rsidR="009121FF" w:rsidRPr="00FA031F" w:rsidRDefault="009121FF" w:rsidP="003D62C1">
            <w:pPr>
              <w:spacing w:line="240" w:lineRule="auto"/>
              <w:ind w:left="0" w:hanging="2"/>
              <w:jc w:val="center"/>
              <w:rPr>
                <w:sz w:val="22"/>
                <w:szCs w:val="22"/>
              </w:rPr>
            </w:pPr>
            <w:r w:rsidRPr="00FA031F">
              <w:rPr>
                <w:sz w:val="22"/>
                <w:szCs w:val="22"/>
              </w:rPr>
              <w:t>60-69</w:t>
            </w:r>
          </w:p>
        </w:tc>
        <w:tc>
          <w:tcPr>
            <w:tcW w:w="1417" w:type="dxa"/>
          </w:tcPr>
          <w:p w:rsidR="009121FF" w:rsidRPr="00FA031F" w:rsidRDefault="009121FF" w:rsidP="003D62C1">
            <w:pPr>
              <w:spacing w:line="240" w:lineRule="auto"/>
              <w:ind w:left="0" w:hanging="2"/>
              <w:jc w:val="center"/>
              <w:rPr>
                <w:sz w:val="22"/>
                <w:szCs w:val="22"/>
              </w:rPr>
            </w:pPr>
            <w:r w:rsidRPr="00FA031F">
              <w:rPr>
                <w:sz w:val="22"/>
                <w:szCs w:val="22"/>
              </w:rPr>
              <w:t>70-79</w:t>
            </w:r>
          </w:p>
        </w:tc>
        <w:tc>
          <w:tcPr>
            <w:tcW w:w="1418" w:type="dxa"/>
          </w:tcPr>
          <w:p w:rsidR="009121FF" w:rsidRPr="00FA031F" w:rsidRDefault="009121FF" w:rsidP="003D62C1">
            <w:pPr>
              <w:spacing w:line="240" w:lineRule="auto"/>
              <w:ind w:left="0" w:hanging="2"/>
              <w:jc w:val="center"/>
              <w:rPr>
                <w:sz w:val="22"/>
                <w:szCs w:val="22"/>
              </w:rPr>
            </w:pPr>
            <w:r w:rsidRPr="00FA031F">
              <w:rPr>
                <w:sz w:val="22"/>
                <w:szCs w:val="22"/>
              </w:rPr>
              <w:t>80-89</w:t>
            </w:r>
          </w:p>
        </w:tc>
        <w:tc>
          <w:tcPr>
            <w:tcW w:w="1417" w:type="dxa"/>
          </w:tcPr>
          <w:p w:rsidR="009121FF" w:rsidRPr="00FA031F" w:rsidRDefault="009121FF" w:rsidP="003D62C1">
            <w:pPr>
              <w:spacing w:line="240" w:lineRule="auto"/>
              <w:ind w:left="0" w:hanging="2"/>
              <w:jc w:val="center"/>
              <w:rPr>
                <w:sz w:val="22"/>
                <w:szCs w:val="22"/>
              </w:rPr>
            </w:pPr>
            <w:r w:rsidRPr="00FA031F">
              <w:rPr>
                <w:sz w:val="22"/>
                <w:szCs w:val="22"/>
              </w:rPr>
              <w:t>90-100</w:t>
            </w:r>
          </w:p>
        </w:tc>
      </w:tr>
      <w:tr w:rsidR="009121FF" w:rsidRPr="00FA031F" w:rsidTr="003D62C1">
        <w:tc>
          <w:tcPr>
            <w:tcW w:w="3652" w:type="dxa"/>
          </w:tcPr>
          <w:p w:rsidR="009121FF" w:rsidRPr="00FA031F" w:rsidRDefault="009121FF" w:rsidP="003D62C1">
            <w:pPr>
              <w:spacing w:line="240" w:lineRule="auto"/>
              <w:ind w:left="0" w:hanging="2"/>
              <w:rPr>
                <w:bCs/>
                <w:sz w:val="22"/>
                <w:szCs w:val="22"/>
              </w:rPr>
            </w:pPr>
            <w:r w:rsidRPr="00FA031F">
              <w:rPr>
                <w:bCs/>
                <w:sz w:val="22"/>
                <w:szCs w:val="22"/>
              </w:rPr>
              <w:t>YDS, e-YDS, YÖKDİL</w:t>
            </w:r>
          </w:p>
        </w:tc>
        <w:tc>
          <w:tcPr>
            <w:tcW w:w="1418" w:type="dxa"/>
          </w:tcPr>
          <w:p w:rsidR="009121FF" w:rsidRPr="00FA031F" w:rsidRDefault="009121FF" w:rsidP="003D62C1">
            <w:pPr>
              <w:spacing w:line="240" w:lineRule="auto"/>
              <w:ind w:left="0" w:hanging="2"/>
              <w:jc w:val="center"/>
              <w:rPr>
                <w:sz w:val="22"/>
                <w:szCs w:val="22"/>
              </w:rPr>
            </w:pPr>
            <w:r w:rsidRPr="00FA031F">
              <w:rPr>
                <w:sz w:val="22"/>
                <w:szCs w:val="22"/>
              </w:rPr>
              <w:t>60-69</w:t>
            </w:r>
          </w:p>
        </w:tc>
        <w:tc>
          <w:tcPr>
            <w:tcW w:w="1417" w:type="dxa"/>
          </w:tcPr>
          <w:p w:rsidR="009121FF" w:rsidRPr="00FA031F" w:rsidRDefault="009121FF" w:rsidP="003D62C1">
            <w:pPr>
              <w:spacing w:line="240" w:lineRule="auto"/>
              <w:ind w:left="0" w:hanging="2"/>
              <w:jc w:val="center"/>
              <w:rPr>
                <w:sz w:val="22"/>
                <w:szCs w:val="22"/>
              </w:rPr>
            </w:pPr>
            <w:r w:rsidRPr="00FA031F">
              <w:rPr>
                <w:sz w:val="22"/>
                <w:szCs w:val="22"/>
              </w:rPr>
              <w:t>70-79</w:t>
            </w:r>
          </w:p>
        </w:tc>
        <w:tc>
          <w:tcPr>
            <w:tcW w:w="1418" w:type="dxa"/>
          </w:tcPr>
          <w:p w:rsidR="009121FF" w:rsidRPr="00FA031F" w:rsidRDefault="009121FF" w:rsidP="003D62C1">
            <w:pPr>
              <w:spacing w:line="240" w:lineRule="auto"/>
              <w:ind w:left="0" w:hanging="2"/>
              <w:jc w:val="center"/>
              <w:rPr>
                <w:sz w:val="22"/>
                <w:szCs w:val="22"/>
              </w:rPr>
            </w:pPr>
            <w:r w:rsidRPr="00FA031F">
              <w:rPr>
                <w:sz w:val="22"/>
                <w:szCs w:val="22"/>
              </w:rPr>
              <w:t>80-89</w:t>
            </w:r>
          </w:p>
        </w:tc>
        <w:tc>
          <w:tcPr>
            <w:tcW w:w="1417" w:type="dxa"/>
          </w:tcPr>
          <w:p w:rsidR="009121FF" w:rsidRPr="00FA031F" w:rsidRDefault="009121FF" w:rsidP="003D62C1">
            <w:pPr>
              <w:spacing w:line="240" w:lineRule="auto"/>
              <w:ind w:left="0" w:hanging="2"/>
              <w:jc w:val="center"/>
              <w:rPr>
                <w:sz w:val="22"/>
                <w:szCs w:val="22"/>
              </w:rPr>
            </w:pPr>
            <w:r w:rsidRPr="00FA031F">
              <w:rPr>
                <w:sz w:val="22"/>
                <w:szCs w:val="22"/>
              </w:rPr>
              <w:t>90-100</w:t>
            </w:r>
          </w:p>
        </w:tc>
      </w:tr>
      <w:tr w:rsidR="009121FF" w:rsidRPr="00FA031F" w:rsidTr="003D62C1">
        <w:tc>
          <w:tcPr>
            <w:tcW w:w="3652" w:type="dxa"/>
          </w:tcPr>
          <w:p w:rsidR="009121FF" w:rsidRPr="00FA031F" w:rsidRDefault="009121FF" w:rsidP="003D62C1">
            <w:pPr>
              <w:spacing w:line="240" w:lineRule="auto"/>
              <w:ind w:left="0" w:hanging="2"/>
              <w:rPr>
                <w:bCs/>
                <w:sz w:val="22"/>
                <w:szCs w:val="22"/>
              </w:rPr>
            </w:pPr>
            <w:r w:rsidRPr="00FA031F">
              <w:rPr>
                <w:bCs/>
                <w:sz w:val="22"/>
                <w:szCs w:val="22"/>
              </w:rPr>
              <w:t>TOEFL IBT</w:t>
            </w:r>
          </w:p>
        </w:tc>
        <w:tc>
          <w:tcPr>
            <w:tcW w:w="1418" w:type="dxa"/>
          </w:tcPr>
          <w:p w:rsidR="009121FF" w:rsidRPr="00FA031F" w:rsidRDefault="009121FF" w:rsidP="003D62C1">
            <w:pPr>
              <w:spacing w:line="240" w:lineRule="auto"/>
              <w:ind w:left="0" w:hanging="2"/>
              <w:jc w:val="center"/>
              <w:rPr>
                <w:sz w:val="22"/>
                <w:szCs w:val="22"/>
              </w:rPr>
            </w:pPr>
            <w:r w:rsidRPr="00FA031F">
              <w:rPr>
                <w:sz w:val="22"/>
                <w:szCs w:val="22"/>
              </w:rPr>
              <w:t>72-83</w:t>
            </w:r>
          </w:p>
        </w:tc>
        <w:tc>
          <w:tcPr>
            <w:tcW w:w="1417" w:type="dxa"/>
          </w:tcPr>
          <w:p w:rsidR="009121FF" w:rsidRPr="00FA031F" w:rsidRDefault="009121FF" w:rsidP="003D62C1">
            <w:pPr>
              <w:spacing w:line="240" w:lineRule="auto"/>
              <w:ind w:left="0" w:hanging="2"/>
              <w:jc w:val="center"/>
              <w:rPr>
                <w:sz w:val="22"/>
                <w:szCs w:val="22"/>
              </w:rPr>
            </w:pPr>
            <w:r w:rsidRPr="00FA031F">
              <w:rPr>
                <w:sz w:val="22"/>
                <w:szCs w:val="22"/>
              </w:rPr>
              <w:t>84-95</w:t>
            </w:r>
          </w:p>
        </w:tc>
        <w:tc>
          <w:tcPr>
            <w:tcW w:w="1418" w:type="dxa"/>
          </w:tcPr>
          <w:p w:rsidR="009121FF" w:rsidRPr="00FA031F" w:rsidRDefault="009121FF" w:rsidP="003D62C1">
            <w:pPr>
              <w:spacing w:line="240" w:lineRule="auto"/>
              <w:ind w:left="0" w:hanging="2"/>
              <w:jc w:val="center"/>
              <w:rPr>
                <w:sz w:val="22"/>
                <w:szCs w:val="22"/>
              </w:rPr>
            </w:pPr>
            <w:r w:rsidRPr="00FA031F">
              <w:rPr>
                <w:sz w:val="22"/>
                <w:szCs w:val="22"/>
              </w:rPr>
              <w:t>96-107</w:t>
            </w:r>
          </w:p>
        </w:tc>
        <w:tc>
          <w:tcPr>
            <w:tcW w:w="1417" w:type="dxa"/>
          </w:tcPr>
          <w:p w:rsidR="009121FF" w:rsidRPr="00FA031F" w:rsidRDefault="009121FF" w:rsidP="003D62C1">
            <w:pPr>
              <w:spacing w:line="240" w:lineRule="auto"/>
              <w:ind w:left="0" w:hanging="2"/>
              <w:jc w:val="center"/>
              <w:rPr>
                <w:sz w:val="22"/>
                <w:szCs w:val="22"/>
              </w:rPr>
            </w:pPr>
            <w:r w:rsidRPr="00FA031F">
              <w:rPr>
                <w:sz w:val="22"/>
                <w:szCs w:val="22"/>
              </w:rPr>
              <w:t>108-120</w:t>
            </w:r>
          </w:p>
        </w:tc>
      </w:tr>
      <w:tr w:rsidR="009121FF" w:rsidRPr="00FA031F" w:rsidTr="003D62C1">
        <w:tc>
          <w:tcPr>
            <w:tcW w:w="3652" w:type="dxa"/>
          </w:tcPr>
          <w:p w:rsidR="009121FF" w:rsidRPr="00FA031F" w:rsidRDefault="009121FF" w:rsidP="003D62C1">
            <w:pPr>
              <w:spacing w:line="240" w:lineRule="auto"/>
              <w:ind w:left="0" w:hanging="2"/>
              <w:rPr>
                <w:bCs/>
                <w:sz w:val="22"/>
                <w:szCs w:val="22"/>
              </w:rPr>
            </w:pPr>
            <w:r w:rsidRPr="00FA031F">
              <w:rPr>
                <w:bCs/>
                <w:sz w:val="22"/>
                <w:szCs w:val="22"/>
              </w:rPr>
              <w:t>PTE Akademik</w:t>
            </w:r>
          </w:p>
        </w:tc>
        <w:tc>
          <w:tcPr>
            <w:tcW w:w="1418" w:type="dxa"/>
          </w:tcPr>
          <w:p w:rsidR="009121FF" w:rsidRPr="00FA031F" w:rsidRDefault="009121FF" w:rsidP="003D62C1">
            <w:pPr>
              <w:spacing w:line="240" w:lineRule="auto"/>
              <w:ind w:left="0" w:hanging="2"/>
              <w:jc w:val="center"/>
              <w:rPr>
                <w:sz w:val="22"/>
                <w:szCs w:val="22"/>
              </w:rPr>
            </w:pPr>
            <w:r w:rsidRPr="00FA031F">
              <w:rPr>
                <w:sz w:val="22"/>
                <w:szCs w:val="22"/>
              </w:rPr>
              <w:t>55-70</w:t>
            </w:r>
          </w:p>
        </w:tc>
        <w:tc>
          <w:tcPr>
            <w:tcW w:w="1417" w:type="dxa"/>
          </w:tcPr>
          <w:p w:rsidR="009121FF" w:rsidRPr="00FA031F" w:rsidRDefault="009121FF" w:rsidP="003D62C1">
            <w:pPr>
              <w:spacing w:line="240" w:lineRule="auto"/>
              <w:ind w:left="0" w:hanging="2"/>
              <w:jc w:val="center"/>
              <w:rPr>
                <w:sz w:val="22"/>
                <w:szCs w:val="22"/>
              </w:rPr>
            </w:pPr>
            <w:r w:rsidRPr="00FA031F">
              <w:rPr>
                <w:sz w:val="22"/>
                <w:szCs w:val="22"/>
              </w:rPr>
              <w:t>71-77</w:t>
            </w:r>
          </w:p>
        </w:tc>
        <w:tc>
          <w:tcPr>
            <w:tcW w:w="1418" w:type="dxa"/>
          </w:tcPr>
          <w:p w:rsidR="009121FF" w:rsidRPr="00FA031F" w:rsidRDefault="009121FF" w:rsidP="003D62C1">
            <w:pPr>
              <w:spacing w:line="240" w:lineRule="auto"/>
              <w:ind w:left="0" w:hanging="2"/>
              <w:jc w:val="center"/>
              <w:rPr>
                <w:sz w:val="22"/>
                <w:szCs w:val="22"/>
              </w:rPr>
            </w:pPr>
            <w:r w:rsidRPr="00FA031F">
              <w:rPr>
                <w:sz w:val="22"/>
                <w:szCs w:val="22"/>
              </w:rPr>
              <w:t>78-83</w:t>
            </w:r>
          </w:p>
        </w:tc>
        <w:tc>
          <w:tcPr>
            <w:tcW w:w="1417" w:type="dxa"/>
          </w:tcPr>
          <w:p w:rsidR="009121FF" w:rsidRPr="00FA031F" w:rsidRDefault="009121FF" w:rsidP="003D62C1">
            <w:pPr>
              <w:spacing w:line="240" w:lineRule="auto"/>
              <w:ind w:left="0" w:hanging="2"/>
              <w:jc w:val="center"/>
              <w:rPr>
                <w:sz w:val="22"/>
                <w:szCs w:val="22"/>
              </w:rPr>
            </w:pPr>
            <w:r w:rsidRPr="00FA031F">
              <w:rPr>
                <w:sz w:val="22"/>
                <w:szCs w:val="22"/>
              </w:rPr>
              <w:t>84-90</w:t>
            </w:r>
          </w:p>
        </w:tc>
      </w:tr>
    </w:tbl>
    <w:p w:rsidR="009121FF" w:rsidRPr="000635DA" w:rsidRDefault="009121FF" w:rsidP="009121FF">
      <w:pPr>
        <w:spacing w:line="240" w:lineRule="auto"/>
        <w:ind w:left="-2" w:right="423" w:firstLine="0"/>
        <w:jc w:val="both"/>
        <w:rPr>
          <w:sz w:val="4"/>
          <w:szCs w:val="4"/>
        </w:rPr>
      </w:pPr>
    </w:p>
    <w:p w:rsidR="00FA031F" w:rsidRPr="00FA031F" w:rsidRDefault="009121FF"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FA031F">
        <w:t xml:space="preserve">(5) AODK (Avrupa Ortak Dil Kriterleri) kapsamında, İngilizce hazırlık öğretiminden en az CB harf notu ile başarılı olan öğrenciler B1 düzeyinin, en az BB harf notu ile başarılı olan öğrenciler ise B2 düzeyinin gerektirdiği dil yeterliliğine sahip kabul edilir. </w:t>
      </w:r>
    </w:p>
    <w:p w:rsidR="00FA031F" w:rsidRPr="00023806" w:rsidRDefault="009121FF" w:rsidP="00FA031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FA031F">
        <w:t>(6) İngilizce hazırlık öğretiminden muafiyet belgelerinin asıllarının Temel İngilizce Bölüm Başkanlığı’na muafiyet talebine ilişkin bir dilekçe ile elden teslim edilmesi gerekir. Söz konusu belgeler Yönetim Kurulu tarafından değerlendirilir, kabul edilen belgeler geçerli olduğu eğitim-öğretim dönemine işlenir. Bu belgelerin ders kayıt tarihleri sonrasında teslim edilmesinin sonuçlarından öğrenci sorumludur.</w:t>
      </w:r>
      <w:r w:rsidR="00FA031F" w:rsidRPr="00FA031F">
        <w:rPr>
          <w:b/>
        </w:rPr>
        <w:t xml:space="preserve"> </w:t>
      </w:r>
    </w:p>
    <w:p w:rsidR="00375A99" w:rsidRPr="00CA669A" w:rsidRDefault="00375A99" w:rsidP="005D73D0">
      <w:pPr>
        <w:spacing w:line="240" w:lineRule="auto"/>
        <w:ind w:left="0" w:hanging="2"/>
        <w:jc w:val="both"/>
      </w:pPr>
    </w:p>
    <w:p w:rsidR="007A111F" w:rsidRPr="00CA669A" w:rsidRDefault="00C20500" w:rsidP="005D73D0">
      <w:pPr>
        <w:spacing w:line="240" w:lineRule="auto"/>
        <w:ind w:left="0" w:hanging="2"/>
      </w:pPr>
      <w:r>
        <w:rPr>
          <w:b/>
        </w:rPr>
        <w:t>Öğrenci K</w:t>
      </w:r>
      <w:r w:rsidR="00EA269C" w:rsidRPr="00CA669A">
        <w:rPr>
          <w:b/>
        </w:rPr>
        <w:t>abulü</w:t>
      </w:r>
      <w:r>
        <w:rPr>
          <w:b/>
        </w:rPr>
        <w:t xml:space="preserve"> </w:t>
      </w:r>
    </w:p>
    <w:p w:rsidR="00271ACE" w:rsidRDefault="00C20500" w:rsidP="005D73D0">
      <w:pPr>
        <w:spacing w:line="240" w:lineRule="auto"/>
        <w:ind w:left="0" w:hanging="2"/>
        <w:jc w:val="both"/>
      </w:pPr>
      <w:r>
        <w:rPr>
          <w:b/>
        </w:rPr>
        <w:t xml:space="preserve">MADDE 9- </w:t>
      </w:r>
      <w:r w:rsidRPr="00C20500">
        <w:t>(1)</w:t>
      </w:r>
      <w:r>
        <w:t xml:space="preserve"> </w:t>
      </w:r>
      <w:proofErr w:type="spellStart"/>
      <w:r w:rsidR="00EA269C" w:rsidRPr="00CA669A">
        <w:t>İYS’</w:t>
      </w:r>
      <w:r w:rsidR="00F03B2B">
        <w:t>ye</w:t>
      </w:r>
      <w:proofErr w:type="spellEnd"/>
      <w:r w:rsidR="00F03B2B">
        <w:t xml:space="preserve"> girmeyen, bu sınavdan başarısız olan veya</w:t>
      </w:r>
      <w:r w:rsidR="00EA269C" w:rsidRPr="00CA669A">
        <w:t xml:space="preserve"> </w:t>
      </w:r>
      <w:r w:rsidR="00F03B2B">
        <w:t>muafiyet sağlayan sınavlar</w:t>
      </w:r>
      <w:r w:rsidR="009F0B84">
        <w:t xml:space="preserve"> ile</w:t>
      </w:r>
      <w:r w:rsidR="00F03B2B">
        <w:t xml:space="preserve"> </w:t>
      </w:r>
      <w:r w:rsidR="00E5575F">
        <w:t>İngilizce yeter</w:t>
      </w:r>
      <w:r w:rsidR="00F03B2B">
        <w:t>li</w:t>
      </w:r>
      <w:r w:rsidR="00EA269C" w:rsidRPr="00CA669A">
        <w:t>kle</w:t>
      </w:r>
      <w:r>
        <w:t xml:space="preserve">rini belgeleyemeyen öğrenciler </w:t>
      </w:r>
      <w:r w:rsidR="0010659F">
        <w:t xml:space="preserve">zorunlu </w:t>
      </w:r>
      <w:r w:rsidR="00F03B2B">
        <w:t xml:space="preserve">İngilizce </w:t>
      </w:r>
      <w:r>
        <w:t>h</w:t>
      </w:r>
      <w:r w:rsidR="00EA269C" w:rsidRPr="00CA669A">
        <w:t xml:space="preserve">azırlık </w:t>
      </w:r>
      <w:r>
        <w:t>öğre</w:t>
      </w:r>
      <w:r w:rsidR="004C2D0A" w:rsidRPr="00CA669A">
        <w:t>timine</w:t>
      </w:r>
      <w:r w:rsidR="00F03B2B">
        <w:t xml:space="preserve"> devam etmek zorundadır</w:t>
      </w:r>
      <w:r w:rsidR="00EA269C" w:rsidRPr="00CA669A">
        <w:t xml:space="preserve">. </w:t>
      </w:r>
    </w:p>
    <w:p w:rsidR="00E52747" w:rsidRPr="00E52747" w:rsidRDefault="00E52747" w:rsidP="005D73D0">
      <w:pPr>
        <w:spacing w:line="240" w:lineRule="auto"/>
        <w:ind w:left="0" w:hanging="2"/>
        <w:jc w:val="both"/>
      </w:pPr>
    </w:p>
    <w:p w:rsidR="007A111F" w:rsidRPr="00CA669A" w:rsidRDefault="00F03B2B" w:rsidP="005D73D0">
      <w:pPr>
        <w:spacing w:line="240" w:lineRule="auto"/>
        <w:ind w:left="0" w:hanging="2"/>
        <w:jc w:val="both"/>
      </w:pPr>
      <w:r>
        <w:rPr>
          <w:b/>
        </w:rPr>
        <w:t>Öğretim S</w:t>
      </w:r>
      <w:r w:rsidRPr="00CA669A">
        <w:rPr>
          <w:b/>
        </w:rPr>
        <w:t>üresi</w:t>
      </w:r>
    </w:p>
    <w:p w:rsidR="007A111F" w:rsidRPr="007E0E87" w:rsidRDefault="007E0E87" w:rsidP="005D73D0">
      <w:pPr>
        <w:spacing w:line="240" w:lineRule="auto"/>
        <w:ind w:left="0" w:hanging="2"/>
        <w:jc w:val="both"/>
        <w:rPr>
          <w:b/>
        </w:rPr>
      </w:pPr>
      <w:r>
        <w:rPr>
          <w:b/>
        </w:rPr>
        <w:t>MADDE 10-</w:t>
      </w:r>
      <w:r w:rsidR="00EA269C" w:rsidRPr="00CA669A">
        <w:t xml:space="preserve">(1) Hazırlık </w:t>
      </w:r>
      <w:r w:rsidR="00F03B2B">
        <w:t>öğre</w:t>
      </w:r>
      <w:r w:rsidR="004C2D0A" w:rsidRPr="00CA669A">
        <w:t>timi</w:t>
      </w:r>
      <w:r w:rsidR="00EA269C" w:rsidRPr="00CA669A">
        <w:t xml:space="preserve"> en az 15</w:t>
      </w:r>
      <w:r w:rsidR="00112B89" w:rsidRPr="00CA669A">
        <w:t>’er</w:t>
      </w:r>
      <w:r w:rsidR="00DC2AA0">
        <w:t xml:space="preserve"> (on beş)</w:t>
      </w:r>
      <w:r w:rsidR="00EA269C" w:rsidRPr="00CA669A">
        <w:t xml:space="preserve"> haftalık iki yarıyıldan oluşur.</w:t>
      </w:r>
    </w:p>
    <w:p w:rsidR="007A111F" w:rsidRPr="00CA669A" w:rsidRDefault="00EA269C" w:rsidP="005D73D0">
      <w:pPr>
        <w:spacing w:line="240" w:lineRule="auto"/>
        <w:ind w:left="0" w:hanging="2"/>
        <w:jc w:val="both"/>
      </w:pPr>
      <w:r w:rsidRPr="00CA669A">
        <w:t xml:space="preserve">(2) </w:t>
      </w:r>
      <w:r w:rsidR="00F03B2B">
        <w:t>İngilizce h</w:t>
      </w:r>
      <w:r w:rsidRPr="00CA669A">
        <w:t xml:space="preserve">azırlık </w:t>
      </w:r>
      <w:r w:rsidR="00F03B2B">
        <w:t>öğre</w:t>
      </w:r>
      <w:r w:rsidR="00652BE3" w:rsidRPr="00CA669A">
        <w:t>timinden</w:t>
      </w:r>
      <w:r w:rsidR="00587D2D">
        <w:t xml:space="preserve"> başarısız olan</w:t>
      </w:r>
      <w:r w:rsidRPr="00CA669A">
        <w:t xml:space="preserve"> ya da devamsızlık nedeniyle kalan öğrencilerin</w:t>
      </w:r>
      <w:r w:rsidR="00F03B2B">
        <w:t xml:space="preserve"> h</w:t>
      </w:r>
      <w:r w:rsidRPr="00CA669A">
        <w:t>azırlık öğretimini tekrar etme hakları yoktur. B</w:t>
      </w:r>
      <w:r w:rsidR="00E5575F">
        <w:t>u</w:t>
      </w:r>
      <w:r w:rsidRPr="00CA669A">
        <w:t xml:space="preserve"> öğrenciler, aşağıdaki tabloda belirtilen </w:t>
      </w:r>
      <w:proofErr w:type="spellStart"/>
      <w:r w:rsidRPr="00CA669A">
        <w:t>İYS</w:t>
      </w:r>
      <w:r w:rsidR="00587D2D">
        <w:t>’ye</w:t>
      </w:r>
      <w:proofErr w:type="spellEnd"/>
      <w:r w:rsidR="00587D2D">
        <w:t xml:space="preserve"> girme</w:t>
      </w:r>
      <w:r w:rsidRPr="00CA669A">
        <w:t xml:space="preserve"> haklarından yararlanırlar: </w:t>
      </w:r>
    </w:p>
    <w:tbl>
      <w:tblPr>
        <w:tblStyle w:val="a2"/>
        <w:tblW w:w="90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8094"/>
      </w:tblGrid>
      <w:tr w:rsidR="007A111F" w:rsidRPr="00CA669A" w:rsidTr="00D8307F">
        <w:trPr>
          <w:trHeight w:val="20"/>
          <w:jc w:val="center"/>
        </w:trPr>
        <w:tc>
          <w:tcPr>
            <w:tcW w:w="9082" w:type="dxa"/>
            <w:gridSpan w:val="2"/>
            <w:vAlign w:val="center"/>
          </w:tcPr>
          <w:p w:rsidR="007A111F" w:rsidRPr="00CA669A" w:rsidRDefault="003923D0" w:rsidP="005D73D0">
            <w:pPr>
              <w:spacing w:line="240" w:lineRule="auto"/>
              <w:ind w:left="0" w:hanging="2"/>
              <w:jc w:val="center"/>
            </w:pPr>
            <w:r w:rsidRPr="00CA669A">
              <w:rPr>
                <w:b/>
              </w:rPr>
              <w:t>Bahar</w:t>
            </w:r>
            <w:r w:rsidR="00587D2D">
              <w:rPr>
                <w:b/>
              </w:rPr>
              <w:t xml:space="preserve"> yarıyılı sonunda h</w:t>
            </w:r>
            <w:r w:rsidR="00EA269C" w:rsidRPr="00CA669A">
              <w:rPr>
                <w:b/>
              </w:rPr>
              <w:t xml:space="preserve">azırlık </w:t>
            </w:r>
            <w:r w:rsidR="00587D2D">
              <w:rPr>
                <w:b/>
              </w:rPr>
              <w:t>öğre</w:t>
            </w:r>
            <w:r w:rsidR="00652BE3" w:rsidRPr="00CA669A">
              <w:rPr>
                <w:b/>
              </w:rPr>
              <w:t>timinden</w:t>
            </w:r>
            <w:r w:rsidR="00EA269C" w:rsidRPr="00CA669A">
              <w:rPr>
                <w:b/>
              </w:rPr>
              <w:t xml:space="preserve"> </w:t>
            </w:r>
            <w:r w:rsidR="00EA269C" w:rsidRPr="00587D2D">
              <w:rPr>
                <w:b/>
              </w:rPr>
              <w:t xml:space="preserve">başarısız olan ya da </w:t>
            </w:r>
            <w:r w:rsidRPr="00587D2D">
              <w:rPr>
                <w:b/>
              </w:rPr>
              <w:t>Güz</w:t>
            </w:r>
            <w:r w:rsidR="00EA269C" w:rsidRPr="00587D2D">
              <w:rPr>
                <w:b/>
              </w:rPr>
              <w:t>/</w:t>
            </w:r>
            <w:r w:rsidRPr="00587D2D">
              <w:rPr>
                <w:b/>
              </w:rPr>
              <w:t>Bahar</w:t>
            </w:r>
            <w:r w:rsidR="00EA269C" w:rsidRPr="00587D2D">
              <w:rPr>
                <w:b/>
              </w:rPr>
              <w:t xml:space="preserve"> yarıyılında devamsızlıktan kalan öğrencilerin girebilecekleri</w:t>
            </w:r>
            <w:r w:rsidR="00EA269C" w:rsidRPr="00CA669A">
              <w:rPr>
                <w:b/>
              </w:rPr>
              <w:t xml:space="preserve"> </w:t>
            </w:r>
            <w:proofErr w:type="spellStart"/>
            <w:r w:rsidR="00EA269C" w:rsidRPr="00CA669A">
              <w:rPr>
                <w:b/>
              </w:rPr>
              <w:t>İYS</w:t>
            </w:r>
            <w:r w:rsidR="00197B1A">
              <w:rPr>
                <w:b/>
              </w:rPr>
              <w:t>’ler</w:t>
            </w:r>
            <w:proofErr w:type="spellEnd"/>
          </w:p>
        </w:tc>
      </w:tr>
      <w:tr w:rsidR="007A111F" w:rsidRPr="00CA669A" w:rsidTr="00D8307F">
        <w:trPr>
          <w:trHeight w:val="20"/>
          <w:jc w:val="center"/>
        </w:trPr>
        <w:tc>
          <w:tcPr>
            <w:tcW w:w="988" w:type="dxa"/>
            <w:vAlign w:val="center"/>
          </w:tcPr>
          <w:p w:rsidR="007A111F" w:rsidRPr="00CA669A" w:rsidRDefault="00C25D29" w:rsidP="005D73D0">
            <w:pPr>
              <w:spacing w:line="240" w:lineRule="auto"/>
              <w:ind w:left="0" w:hanging="2"/>
            </w:pPr>
            <w:r w:rsidRPr="00CA669A">
              <w:t xml:space="preserve">1. hak </w:t>
            </w:r>
          </w:p>
        </w:tc>
        <w:tc>
          <w:tcPr>
            <w:tcW w:w="8094" w:type="dxa"/>
            <w:vAlign w:val="center"/>
          </w:tcPr>
          <w:p w:rsidR="007A111F" w:rsidRPr="00CA669A" w:rsidRDefault="00C25D29" w:rsidP="005D73D0">
            <w:pPr>
              <w:spacing w:line="240" w:lineRule="auto"/>
              <w:ind w:left="0" w:hanging="2"/>
              <w:jc w:val="center"/>
            </w:pPr>
            <w:r w:rsidRPr="00CA669A">
              <w:t>Güz yarıyılı başı</w:t>
            </w:r>
            <w:r>
              <w:t>ndaki</w:t>
            </w:r>
            <w:r w:rsidRPr="00CA669A">
              <w:t xml:space="preserve"> İYS</w:t>
            </w:r>
          </w:p>
        </w:tc>
      </w:tr>
      <w:tr w:rsidR="007A111F" w:rsidRPr="00CA669A" w:rsidTr="00D8307F">
        <w:trPr>
          <w:trHeight w:val="20"/>
          <w:jc w:val="center"/>
        </w:trPr>
        <w:tc>
          <w:tcPr>
            <w:tcW w:w="988" w:type="dxa"/>
            <w:vAlign w:val="center"/>
          </w:tcPr>
          <w:p w:rsidR="007A111F" w:rsidRPr="00CA669A" w:rsidRDefault="00C25D29" w:rsidP="005D73D0">
            <w:pPr>
              <w:spacing w:line="240" w:lineRule="auto"/>
              <w:ind w:left="0" w:hanging="2"/>
            </w:pPr>
            <w:r w:rsidRPr="00CA669A">
              <w:t xml:space="preserve">2. hak </w:t>
            </w:r>
          </w:p>
        </w:tc>
        <w:tc>
          <w:tcPr>
            <w:tcW w:w="8094" w:type="dxa"/>
            <w:vAlign w:val="center"/>
          </w:tcPr>
          <w:p w:rsidR="007A111F" w:rsidRPr="00CA669A" w:rsidRDefault="00C25D29" w:rsidP="005D73D0">
            <w:pPr>
              <w:spacing w:line="240" w:lineRule="auto"/>
              <w:ind w:left="0" w:hanging="2"/>
              <w:jc w:val="center"/>
            </w:pPr>
            <w:r w:rsidRPr="00CA669A">
              <w:t>Güz yarıyılı sonu</w:t>
            </w:r>
            <w:r>
              <w:t>ndaki</w:t>
            </w:r>
            <w:r w:rsidRPr="00CA669A">
              <w:t xml:space="preserve"> İYS</w:t>
            </w:r>
          </w:p>
        </w:tc>
      </w:tr>
      <w:tr w:rsidR="007A111F" w:rsidRPr="00CA669A" w:rsidTr="00D8307F">
        <w:trPr>
          <w:trHeight w:val="20"/>
          <w:jc w:val="center"/>
        </w:trPr>
        <w:tc>
          <w:tcPr>
            <w:tcW w:w="988" w:type="dxa"/>
            <w:vAlign w:val="center"/>
          </w:tcPr>
          <w:p w:rsidR="007A111F" w:rsidRPr="00CA669A" w:rsidRDefault="00C25D29" w:rsidP="005D73D0">
            <w:pPr>
              <w:spacing w:line="240" w:lineRule="auto"/>
              <w:ind w:left="0" w:hanging="2"/>
            </w:pPr>
            <w:r w:rsidRPr="00CA669A">
              <w:t xml:space="preserve">3. hak </w:t>
            </w:r>
          </w:p>
        </w:tc>
        <w:tc>
          <w:tcPr>
            <w:tcW w:w="8094" w:type="dxa"/>
            <w:vAlign w:val="center"/>
          </w:tcPr>
          <w:p w:rsidR="007A111F" w:rsidRPr="00CA669A" w:rsidRDefault="00C25D29" w:rsidP="005D73D0">
            <w:pPr>
              <w:spacing w:line="240" w:lineRule="auto"/>
              <w:ind w:left="0" w:hanging="2"/>
              <w:jc w:val="center"/>
            </w:pPr>
            <w:r w:rsidRPr="00CA669A">
              <w:t>Bahar yarıyılı sonu</w:t>
            </w:r>
            <w:r>
              <w:t>ndaki</w:t>
            </w:r>
            <w:r w:rsidRPr="00CA669A">
              <w:t xml:space="preserve"> İYS</w:t>
            </w:r>
          </w:p>
        </w:tc>
      </w:tr>
      <w:tr w:rsidR="007A111F" w:rsidRPr="00CA669A" w:rsidTr="00D8307F">
        <w:trPr>
          <w:trHeight w:val="20"/>
          <w:jc w:val="center"/>
        </w:trPr>
        <w:tc>
          <w:tcPr>
            <w:tcW w:w="988" w:type="dxa"/>
            <w:vAlign w:val="center"/>
          </w:tcPr>
          <w:p w:rsidR="007A111F" w:rsidRPr="00CA669A" w:rsidRDefault="00C25D29" w:rsidP="005D73D0">
            <w:pPr>
              <w:spacing w:line="240" w:lineRule="auto"/>
              <w:ind w:left="0" w:hanging="2"/>
            </w:pPr>
            <w:r>
              <w:t xml:space="preserve">4. hak </w:t>
            </w:r>
          </w:p>
        </w:tc>
        <w:tc>
          <w:tcPr>
            <w:tcW w:w="8094" w:type="dxa"/>
            <w:vAlign w:val="center"/>
          </w:tcPr>
          <w:p w:rsidR="007A111F" w:rsidRPr="00CA669A" w:rsidRDefault="00C25D29" w:rsidP="005D73D0">
            <w:pPr>
              <w:spacing w:line="240" w:lineRule="auto"/>
              <w:ind w:left="0" w:hanging="2"/>
              <w:jc w:val="center"/>
            </w:pPr>
            <w:r w:rsidRPr="00CA669A">
              <w:t xml:space="preserve">Bir sonraki </w:t>
            </w:r>
            <w:r>
              <w:t xml:space="preserve">akademik yılın </w:t>
            </w:r>
            <w:r w:rsidRPr="00CA669A">
              <w:t>Güz yarıyılı başı</w:t>
            </w:r>
            <w:r>
              <w:t>ndaki</w:t>
            </w:r>
            <w:r w:rsidRPr="00CA669A">
              <w:t xml:space="preserve"> İYS</w:t>
            </w:r>
          </w:p>
        </w:tc>
      </w:tr>
    </w:tbl>
    <w:p w:rsidR="007A111F" w:rsidRPr="000635DA" w:rsidRDefault="007A111F" w:rsidP="005D73D0">
      <w:pPr>
        <w:spacing w:line="240" w:lineRule="auto"/>
        <w:ind w:left="-2" w:firstLine="0"/>
        <w:jc w:val="both"/>
        <w:rPr>
          <w:sz w:val="4"/>
          <w:szCs w:val="4"/>
        </w:rPr>
      </w:pPr>
    </w:p>
    <w:p w:rsidR="007A111F" w:rsidRPr="00CA669A" w:rsidRDefault="00587D2D" w:rsidP="005D73D0">
      <w:pPr>
        <w:spacing w:line="240" w:lineRule="auto"/>
        <w:ind w:left="0" w:hanging="2"/>
        <w:jc w:val="both"/>
      </w:pPr>
      <w:r>
        <w:t>(3) Bir yıl</w:t>
      </w:r>
      <w:r w:rsidR="00252ABB">
        <w:t>lık</w:t>
      </w:r>
      <w:r>
        <w:t xml:space="preserve"> h</w:t>
      </w:r>
      <w:r w:rsidR="00EA269C" w:rsidRPr="00CA669A">
        <w:t xml:space="preserve">azırlık </w:t>
      </w:r>
      <w:r>
        <w:t>öğre</w:t>
      </w:r>
      <w:r w:rsidR="004C2D0A" w:rsidRPr="00CA669A">
        <w:t>timi</w:t>
      </w:r>
      <w:r w:rsidR="00EA269C" w:rsidRPr="00CA669A">
        <w:t xml:space="preserve"> sonunda başarısız olan öğrencilerde</w:t>
      </w:r>
      <w:r>
        <w:t xml:space="preserve">n </w:t>
      </w:r>
      <w:proofErr w:type="spellStart"/>
      <w:r>
        <w:t>İYS’ye</w:t>
      </w:r>
      <w:proofErr w:type="spellEnd"/>
      <w:r>
        <w:t xml:space="preserve"> girme haklarını kullanmayan veya</w:t>
      </w:r>
      <w:r w:rsidR="00EA269C" w:rsidRPr="00CA669A">
        <w:t xml:space="preserve"> İYS hakları sonunda başarı</w:t>
      </w:r>
      <w:r w:rsidR="00252ABB">
        <w:t>sız olan</w:t>
      </w:r>
      <w:r w:rsidR="00EA269C" w:rsidRPr="00CA669A">
        <w:t xml:space="preserve"> öğrenciler, talep etmeleri durumunda Yükseköğretim Kurulu’nun belirlediği </w:t>
      </w:r>
      <w:r>
        <w:t xml:space="preserve">esaslara </w:t>
      </w:r>
      <w:r w:rsidR="00EA269C" w:rsidRPr="00CA669A">
        <w:t xml:space="preserve">göre ÖSYM tarafından aynı adı taşıyan ve öğretim dili Türkçe olan programlara yerleştirilirler. Geçiş için başvuruda bulunmayan </w:t>
      </w:r>
      <w:r>
        <w:t xml:space="preserve">öğrencilerin </w:t>
      </w:r>
      <w:r w:rsidR="00EA269C" w:rsidRPr="00CA669A">
        <w:t>Üniversite ile ilişikleri kesilir.</w:t>
      </w:r>
    </w:p>
    <w:p w:rsidR="00EB5973" w:rsidRDefault="00EA269C" w:rsidP="005D73D0">
      <w:pPr>
        <w:spacing w:line="240" w:lineRule="auto"/>
        <w:ind w:left="0" w:hanging="2"/>
        <w:jc w:val="both"/>
      </w:pPr>
      <w:r w:rsidRPr="00CA669A">
        <w:t xml:space="preserve">(4) </w:t>
      </w:r>
      <w:proofErr w:type="spellStart"/>
      <w:r w:rsidRPr="00CA669A">
        <w:t>İYS’lerin</w:t>
      </w:r>
      <w:proofErr w:type="spellEnd"/>
      <w:r w:rsidRPr="00CA669A">
        <w:t xml:space="preserve"> tarih ve saatleri ait ol</w:t>
      </w:r>
      <w:r w:rsidR="00B94991">
        <w:t>dukları eğitim-öğretim yılının akademik t</w:t>
      </w:r>
      <w:r w:rsidRPr="00CA669A">
        <w:t>akviminde ilan edilir.</w:t>
      </w:r>
    </w:p>
    <w:p w:rsidR="000635DA" w:rsidRDefault="000635DA" w:rsidP="005D73D0">
      <w:pPr>
        <w:spacing w:line="240" w:lineRule="auto"/>
        <w:ind w:left="0" w:hanging="2"/>
        <w:rPr>
          <w:b/>
        </w:rPr>
      </w:pPr>
    </w:p>
    <w:p w:rsidR="007A111F" w:rsidRPr="00CA669A" w:rsidRDefault="00EA269C" w:rsidP="005D73D0">
      <w:pPr>
        <w:spacing w:line="240" w:lineRule="auto"/>
        <w:ind w:left="0" w:hanging="2"/>
      </w:pPr>
      <w:r w:rsidRPr="00CA669A">
        <w:rPr>
          <w:b/>
        </w:rPr>
        <w:t>Devam zorunluluğu</w:t>
      </w:r>
    </w:p>
    <w:p w:rsidR="00617781" w:rsidRDefault="00587D2D" w:rsidP="005D73D0">
      <w:pPr>
        <w:shd w:val="clear" w:color="auto" w:fill="FFFFFF"/>
        <w:spacing w:line="240" w:lineRule="auto"/>
        <w:ind w:left="0" w:hanging="2"/>
        <w:jc w:val="both"/>
      </w:pPr>
      <w:r>
        <w:rPr>
          <w:b/>
        </w:rPr>
        <w:t>MADDE 11-</w:t>
      </w:r>
      <w:r>
        <w:t xml:space="preserve"> (1) </w:t>
      </w:r>
      <w:r w:rsidR="00617781">
        <w:t>H</w:t>
      </w:r>
      <w:r w:rsidR="00EA269C" w:rsidRPr="00CA669A">
        <w:t xml:space="preserve">azırlık </w:t>
      </w:r>
      <w:r w:rsidR="00617781">
        <w:t>öğre</w:t>
      </w:r>
      <w:r w:rsidR="00986215" w:rsidRPr="00CA669A">
        <w:t>timinde</w:t>
      </w:r>
      <w:r w:rsidR="00617781">
        <w:t xml:space="preserve">, </w:t>
      </w:r>
      <w:r w:rsidR="00617781" w:rsidRPr="00CA669A">
        <w:t>Güz ve Bahar</w:t>
      </w:r>
      <w:r w:rsidR="00617781">
        <w:t xml:space="preserve"> dönemlerinde ayrı ayrı olmak üzere,</w:t>
      </w:r>
      <w:r w:rsidR="00EA269C" w:rsidRPr="00CA669A">
        <w:t xml:space="preserve"> </w:t>
      </w:r>
      <w:r w:rsidR="004C2D0A" w:rsidRPr="00CA669A">
        <w:t xml:space="preserve">%85 oranında </w:t>
      </w:r>
      <w:r w:rsidR="00617781">
        <w:t>derslere devam etmek zorunludur</w:t>
      </w:r>
      <w:r w:rsidR="00EA269C" w:rsidRPr="00CA669A">
        <w:t>.</w:t>
      </w:r>
      <w:r w:rsidR="00617781">
        <w:t xml:space="preserve"> </w:t>
      </w:r>
      <w:r w:rsidR="007F1EC4">
        <w:t xml:space="preserve">Her bir seviye için </w:t>
      </w:r>
      <w:r w:rsidR="00D118AD">
        <w:t>geçerli olacak</w:t>
      </w:r>
      <w:r w:rsidR="002D4052">
        <w:t xml:space="preserve"> devamsızlık </w:t>
      </w:r>
      <w:r w:rsidR="00D118AD">
        <w:t>süresi</w:t>
      </w:r>
      <w:r w:rsidR="007F1EC4">
        <w:t xml:space="preserve"> </w:t>
      </w:r>
      <w:r w:rsidR="00DC5971">
        <w:t>ilgili dönemin başında</w:t>
      </w:r>
      <w:r w:rsidR="00DC5971" w:rsidRPr="00DC5971">
        <w:t xml:space="preserve"> </w:t>
      </w:r>
      <w:r w:rsidR="00DC5971">
        <w:t xml:space="preserve">öğrencilere </w:t>
      </w:r>
      <w:r w:rsidR="007F1EC4">
        <w:t>duyurulur.</w:t>
      </w:r>
    </w:p>
    <w:p w:rsidR="00D8307F" w:rsidRPr="00023806" w:rsidRDefault="004A30A4"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D8307F">
        <w:lastRenderedPageBreak/>
        <w:t xml:space="preserve">(2) Devamsızlık süresini aşan öğrenciler ‘devamsız öğrenci’ durumuna düşer ve sınıf listelerinden çıkarılır. Bu öğrenciler, ilgili ve takip eden dönemin dersleri ile kısa, ara, yarıyıl sonu ve konuşma sınavlarına giremez. </w:t>
      </w:r>
    </w:p>
    <w:p w:rsidR="004C2D0A" w:rsidRDefault="00387F2F" w:rsidP="005D73D0">
      <w:pPr>
        <w:shd w:val="clear" w:color="auto" w:fill="FFFFFF"/>
        <w:spacing w:line="240" w:lineRule="auto"/>
        <w:ind w:left="0" w:hanging="2"/>
        <w:jc w:val="both"/>
      </w:pPr>
      <w:r>
        <w:t>(3) Devamsızlıktan kalan</w:t>
      </w:r>
      <w:r w:rsidR="004C2D0A" w:rsidRPr="00CA669A">
        <w:t xml:space="preserve"> öğrenciler </w:t>
      </w:r>
      <w:r w:rsidR="003923D0" w:rsidRPr="00CA669A">
        <w:t>Güz</w:t>
      </w:r>
      <w:r w:rsidR="004C2D0A" w:rsidRPr="00CA669A">
        <w:t xml:space="preserve"> </w:t>
      </w:r>
      <w:r>
        <w:t xml:space="preserve">ve </w:t>
      </w:r>
      <w:r w:rsidR="003923D0" w:rsidRPr="00CA669A">
        <w:t>Bahar</w:t>
      </w:r>
      <w:r w:rsidR="004C2D0A" w:rsidRPr="00CA669A">
        <w:t xml:space="preserve"> yarıyılı s</w:t>
      </w:r>
      <w:r>
        <w:t xml:space="preserve">onunda yapılan </w:t>
      </w:r>
      <w:proofErr w:type="spellStart"/>
      <w:r>
        <w:t>İYS’ye</w:t>
      </w:r>
      <w:proofErr w:type="spellEnd"/>
      <w:r>
        <w:t xml:space="preserve"> girme hakkını</w:t>
      </w:r>
      <w:r w:rsidR="004C2D0A" w:rsidRPr="00CA669A">
        <w:t xml:space="preserve"> kaybeder.</w:t>
      </w:r>
      <w:r>
        <w:t xml:space="preserve"> Bu öğrencilerin, ilk girebilecekleri sınav, </w:t>
      </w:r>
      <w:r w:rsidR="008A6304" w:rsidRPr="00CA669A">
        <w:t xml:space="preserve">bir sonraki </w:t>
      </w:r>
      <w:r w:rsidR="00AA7357" w:rsidRPr="00CA669A">
        <w:t xml:space="preserve">akademik </w:t>
      </w:r>
      <w:r w:rsidRPr="00CA669A">
        <w:t>yıl</w:t>
      </w:r>
      <w:r>
        <w:t xml:space="preserve">ın </w:t>
      </w:r>
      <w:r w:rsidR="00D118AD">
        <w:t xml:space="preserve">Güz yarıyılı </w:t>
      </w:r>
      <w:r w:rsidRPr="00CA669A">
        <w:t>başında</w:t>
      </w:r>
      <w:r>
        <w:t xml:space="preserve"> düzenlenen</w:t>
      </w:r>
      <w:r w:rsidR="00AA7357" w:rsidRPr="00CA669A">
        <w:t xml:space="preserve"> </w:t>
      </w:r>
      <w:proofErr w:type="spellStart"/>
      <w:r>
        <w:t>İYS’dir</w:t>
      </w:r>
      <w:proofErr w:type="spellEnd"/>
      <w:r w:rsidR="00AA7357" w:rsidRPr="00CA669A">
        <w:t>.</w:t>
      </w:r>
    </w:p>
    <w:p w:rsidR="00C020C5" w:rsidRDefault="00C020C5" w:rsidP="005D73D0">
      <w:pPr>
        <w:spacing w:line="240" w:lineRule="auto"/>
        <w:ind w:leftChars="0" w:left="0" w:firstLineChars="0" w:firstLine="0"/>
        <w:jc w:val="both"/>
      </w:pPr>
      <w:r w:rsidRPr="00C020C5">
        <w:t>(4)</w:t>
      </w:r>
      <w:r>
        <w:t xml:space="preserve"> </w:t>
      </w:r>
      <w:r w:rsidRPr="00C020C5">
        <w:t>Öğrenciler kendi adlarına yapacakları her türlü sosyal</w:t>
      </w:r>
      <w:r w:rsidR="0022284D">
        <w:t xml:space="preserve">, </w:t>
      </w:r>
      <w:r w:rsidRPr="00C020C5">
        <w:t>sportif</w:t>
      </w:r>
      <w:r w:rsidR="0022284D">
        <w:t>, vb.</w:t>
      </w:r>
      <w:r w:rsidRPr="00C020C5">
        <w:t xml:space="preserve"> etkinlik katılımı ile </w:t>
      </w:r>
      <w:r w:rsidR="0022284D">
        <w:t>(Sağlık Kurulu Raporu hariç</w:t>
      </w:r>
      <w:r w:rsidR="0022284D" w:rsidRPr="00C020C5">
        <w:t>)</w:t>
      </w:r>
      <w:r w:rsidR="0022284D">
        <w:t xml:space="preserve"> </w:t>
      </w:r>
      <w:r w:rsidRPr="00C020C5">
        <w:t>rapor</w:t>
      </w:r>
      <w:r w:rsidR="00E27D0F">
        <w:t>lu</w:t>
      </w:r>
      <w:r w:rsidRPr="00C020C5">
        <w:t xml:space="preserve"> olmaları gibi tüm maze</w:t>
      </w:r>
      <w:r w:rsidR="00B53A55">
        <w:t>retlerini kendilerine tanınan</w:t>
      </w:r>
      <w:r w:rsidRPr="00C020C5">
        <w:t xml:space="preserve"> %15 devamsızlık süresi içinde kullanmak zorundadırlar. </w:t>
      </w:r>
    </w:p>
    <w:p w:rsidR="00C020C5" w:rsidRDefault="00B53A55" w:rsidP="005D73D0">
      <w:pPr>
        <w:spacing w:line="240" w:lineRule="auto"/>
        <w:ind w:leftChars="0" w:left="0" w:firstLineChars="0" w:firstLine="0"/>
        <w:jc w:val="both"/>
      </w:pPr>
      <w:r>
        <w:t xml:space="preserve">(5) </w:t>
      </w:r>
      <w:r w:rsidR="00C020C5" w:rsidRPr="00C020C5">
        <w:t>Üniversite</w:t>
      </w:r>
      <w:r w:rsidR="006F0146">
        <w:t xml:space="preserve"> adına</w:t>
      </w:r>
      <w:r w:rsidR="00C020C5" w:rsidRPr="00C020C5">
        <w:t xml:space="preserve"> sportif ve kültürel etkinliklere katılan öğrencilerin devamsızlığı %15 devamsızlık süresi içinde değerlendirilmez.</w:t>
      </w:r>
    </w:p>
    <w:p w:rsidR="00F84318" w:rsidRDefault="00F84318" w:rsidP="005D73D0">
      <w:pPr>
        <w:spacing w:line="240" w:lineRule="auto"/>
        <w:ind w:leftChars="0" w:left="0" w:firstLineChars="0" w:firstLine="0"/>
        <w:rPr>
          <w:b/>
        </w:rPr>
      </w:pPr>
    </w:p>
    <w:p w:rsidR="007A111F" w:rsidRPr="00CA669A" w:rsidRDefault="00EA269C" w:rsidP="005D73D0">
      <w:pPr>
        <w:spacing w:line="240" w:lineRule="auto"/>
        <w:ind w:leftChars="0" w:left="0" w:firstLineChars="0" w:firstLine="0"/>
      </w:pPr>
      <w:r w:rsidRPr="00CA669A">
        <w:rPr>
          <w:b/>
        </w:rPr>
        <w:t>Başarının Değerlendirilmesi</w:t>
      </w:r>
    </w:p>
    <w:p w:rsidR="007A111F" w:rsidRPr="00C020C5" w:rsidRDefault="00B94991" w:rsidP="005D73D0">
      <w:pPr>
        <w:spacing w:line="240" w:lineRule="auto"/>
        <w:ind w:left="0" w:hanging="2"/>
        <w:jc w:val="both"/>
        <w:rPr>
          <w:b/>
        </w:rPr>
      </w:pPr>
      <w:r>
        <w:rPr>
          <w:b/>
        </w:rPr>
        <w:t>MADDE</w:t>
      </w:r>
      <w:r w:rsidR="00C020C5">
        <w:rPr>
          <w:b/>
        </w:rPr>
        <w:t xml:space="preserve"> 12- </w:t>
      </w:r>
      <w:r w:rsidR="00C020C5" w:rsidRPr="00C020C5">
        <w:t>(1)</w:t>
      </w:r>
      <w:r w:rsidR="00C020C5">
        <w:rPr>
          <w:b/>
        </w:rPr>
        <w:t xml:space="preserve"> </w:t>
      </w:r>
      <w:r w:rsidR="00C020C5">
        <w:t>D</w:t>
      </w:r>
      <w:r w:rsidR="00EA269C" w:rsidRPr="00CA669A">
        <w:t>evam zorunluluğunu yerine geti</w:t>
      </w:r>
      <w:r w:rsidR="00C020C5">
        <w:t>ren h</w:t>
      </w:r>
      <w:r w:rsidR="00EA269C" w:rsidRPr="00CA669A">
        <w:t xml:space="preserve">azırlık </w:t>
      </w:r>
      <w:r w:rsidR="00C020C5">
        <w:t xml:space="preserve">öğretimi </w:t>
      </w:r>
      <w:r w:rsidR="00E60185">
        <w:t>öğrencilerinin başarı durumları,</w:t>
      </w:r>
      <w:r w:rsidR="00EA269C" w:rsidRPr="00CA669A">
        <w:t xml:space="preserve"> Yö</w:t>
      </w:r>
      <w:r w:rsidR="00E60185">
        <w:t>netim Kurulu kararları çerçevesinde değerlendirilir</w:t>
      </w:r>
      <w:r w:rsidR="00EA269C" w:rsidRPr="00CA669A">
        <w:t>.</w:t>
      </w:r>
    </w:p>
    <w:p w:rsidR="007A111F" w:rsidRPr="00CA669A" w:rsidRDefault="00C020C5" w:rsidP="005D73D0">
      <w:pPr>
        <w:spacing w:line="240" w:lineRule="auto"/>
        <w:ind w:left="0" w:hanging="2"/>
        <w:jc w:val="both"/>
      </w:pPr>
      <w:r>
        <w:t>(2</w:t>
      </w:r>
      <w:r w:rsidR="00E60185">
        <w:t>) Öğrenciler,</w:t>
      </w:r>
      <w:r>
        <w:t xml:space="preserve"> h</w:t>
      </w:r>
      <w:r w:rsidR="00EA269C" w:rsidRPr="00CA669A">
        <w:t xml:space="preserve">azırlık </w:t>
      </w:r>
      <w:r>
        <w:t>öğre</w:t>
      </w:r>
      <w:r w:rsidR="007654CC" w:rsidRPr="00CA669A">
        <w:t>timini</w:t>
      </w:r>
      <w:r w:rsidR="00EA269C" w:rsidRPr="00CA669A">
        <w:t xml:space="preserve"> bir ya da iki yarıyıl </w:t>
      </w:r>
      <w:r w:rsidR="007654CC" w:rsidRPr="00CA669A">
        <w:t xml:space="preserve">sonunda </w:t>
      </w:r>
      <w:r w:rsidR="00E60185">
        <w:t>bitirebilirler</w:t>
      </w:r>
      <w:r w:rsidR="00EA269C" w:rsidRPr="00CA669A">
        <w:t xml:space="preserve">. </w:t>
      </w:r>
    </w:p>
    <w:p w:rsidR="002D5291" w:rsidRDefault="00A063D1" w:rsidP="005D73D0">
      <w:pPr>
        <w:spacing w:line="240" w:lineRule="auto"/>
        <w:ind w:leftChars="0" w:left="0" w:firstLineChars="0" w:firstLine="0"/>
        <w:jc w:val="both"/>
      </w:pPr>
      <w:r>
        <w:t>(3</w:t>
      </w:r>
      <w:r w:rsidR="003D33E2" w:rsidRPr="00C020C5">
        <w:t xml:space="preserve">) </w:t>
      </w:r>
      <w:r w:rsidR="003923D0" w:rsidRPr="00C020C5">
        <w:t>Güz</w:t>
      </w:r>
      <w:r w:rsidR="004D4AB0" w:rsidRPr="00C020C5">
        <w:t xml:space="preserve"> yarıyılı</w:t>
      </w:r>
      <w:r w:rsidR="006A6C66" w:rsidRPr="00C020C5">
        <w:t xml:space="preserve"> sonunda</w:t>
      </w:r>
      <w:r>
        <w:t xml:space="preserve"> düzenlenecek </w:t>
      </w:r>
      <w:proofErr w:type="spellStart"/>
      <w:r>
        <w:t>İYS’ye</w:t>
      </w:r>
      <w:proofErr w:type="spellEnd"/>
      <w:r>
        <w:t xml:space="preserve"> girebilmek</w:t>
      </w:r>
      <w:r w:rsidR="00EA269C" w:rsidRPr="00C020C5">
        <w:t xml:space="preserve"> için;</w:t>
      </w:r>
      <w:r w:rsidR="00C020C5">
        <w:t xml:space="preserve"> </w:t>
      </w:r>
    </w:p>
    <w:p w:rsidR="00D8307F" w:rsidRPr="00D8307F" w:rsidRDefault="007329DF" w:rsidP="000635DA">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284"/>
        <w:jc w:val="both"/>
        <w:textDirection w:val="lrTb"/>
        <w:textAlignment w:val="auto"/>
        <w:outlineLvl w:val="9"/>
        <w:rPr>
          <w:strike/>
        </w:rPr>
      </w:pPr>
      <w:r w:rsidRPr="00D8307F">
        <w:t xml:space="preserve">a) Devam zorunluluğunun yerine getirilmesi ve Güz yarıyılı başında yapılan </w:t>
      </w:r>
      <w:proofErr w:type="spellStart"/>
      <w:r w:rsidRPr="00D8307F">
        <w:t>İYS’de</w:t>
      </w:r>
      <w:proofErr w:type="spellEnd"/>
      <w:r w:rsidRPr="00D8307F">
        <w:t xml:space="preserve"> A1 ve A2 düzeylerine yerleşen öğrenciler için dönem içi başarı notu ortalamasının en az 85 (</w:t>
      </w:r>
      <w:proofErr w:type="spellStart"/>
      <w:r w:rsidRPr="00D8307F">
        <w:t>seksenbeş</w:t>
      </w:r>
      <w:proofErr w:type="spellEnd"/>
      <w:r w:rsidRPr="00D8307F">
        <w:t>) puan olması,</w:t>
      </w:r>
      <w:r w:rsidR="00D8307F" w:rsidRPr="00D8307F">
        <w:t xml:space="preserve"> </w:t>
      </w:r>
    </w:p>
    <w:p w:rsidR="00D8307F" w:rsidRPr="00023806" w:rsidRDefault="00CA1C1E" w:rsidP="000635DA">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284"/>
        <w:jc w:val="both"/>
        <w:textDirection w:val="lrTb"/>
        <w:textAlignment w:val="auto"/>
        <w:outlineLvl w:val="9"/>
        <w:rPr>
          <w:strike/>
        </w:rPr>
      </w:pPr>
      <w:r w:rsidRPr="00D8307F">
        <w:t xml:space="preserve">b) Devam zorunluluğunun yerine getirilmesi ve Güz yarıyılı başında yapılan </w:t>
      </w:r>
      <w:proofErr w:type="spellStart"/>
      <w:r w:rsidRPr="00D8307F">
        <w:t>İYS’de</w:t>
      </w:r>
      <w:proofErr w:type="spellEnd"/>
      <w:r w:rsidRPr="00D8307F">
        <w:t xml:space="preserve"> B1 ve B1+ düzeylerine yerleşen öğrenciler için dönem içi başarı notu ortalamasının en az 60 (altmış) puan olması gereklidir.</w:t>
      </w:r>
      <w:r w:rsidR="00D8307F" w:rsidRPr="00D8307F">
        <w:t xml:space="preserve"> </w:t>
      </w:r>
    </w:p>
    <w:p w:rsidR="00E86B1D" w:rsidRDefault="00796538" w:rsidP="000635DA">
      <w:pPr>
        <w:spacing w:line="240" w:lineRule="auto"/>
        <w:ind w:leftChars="0" w:left="0" w:firstLineChars="0" w:firstLine="284"/>
        <w:jc w:val="both"/>
      </w:pPr>
      <w:r>
        <w:t>c</w:t>
      </w:r>
      <w:r w:rsidR="00E86B1D">
        <w:t xml:space="preserve">) Güz yarıyılı başında yapılan </w:t>
      </w:r>
      <w:proofErr w:type="spellStart"/>
      <w:r w:rsidR="00E86B1D">
        <w:t>İYS’de</w:t>
      </w:r>
      <w:proofErr w:type="spellEnd"/>
      <w:r w:rsidR="00E86B1D">
        <w:t xml:space="preserve"> B1 ve B1+ düzeylerine yerleşen öğrenciler için </w:t>
      </w:r>
      <w:r w:rsidR="00E86B1D" w:rsidRPr="00796538">
        <w:t>dönem içi başarı notu ortalaması</w:t>
      </w:r>
      <w:r w:rsidR="002C3141">
        <w:t>nın</w:t>
      </w:r>
      <w:r w:rsidR="00E86B1D" w:rsidRPr="00796538">
        <w:t xml:space="preserve"> en az 60 </w:t>
      </w:r>
      <w:r w:rsidR="00A31B52">
        <w:t xml:space="preserve">(altmış) </w:t>
      </w:r>
      <w:r w:rsidR="00E86B1D" w:rsidRPr="00796538">
        <w:t>puan olma</w:t>
      </w:r>
      <w:r w:rsidR="002C3141">
        <w:t>sı gereklidir.</w:t>
      </w:r>
    </w:p>
    <w:p w:rsidR="007A111F" w:rsidRPr="00CA669A" w:rsidRDefault="00A063D1" w:rsidP="005D73D0">
      <w:pPr>
        <w:spacing w:line="240" w:lineRule="auto"/>
        <w:ind w:left="0" w:hanging="2"/>
        <w:jc w:val="both"/>
      </w:pPr>
      <w:r>
        <w:t xml:space="preserve">(4) </w:t>
      </w:r>
      <w:r w:rsidRPr="00C020C5">
        <w:t>Güz yarıyılı sonunda</w:t>
      </w:r>
      <w:r>
        <w:t xml:space="preserve"> düzenlenecek </w:t>
      </w:r>
      <w:proofErr w:type="spellStart"/>
      <w:r w:rsidRPr="00CA669A">
        <w:t>İYS’den</w:t>
      </w:r>
      <w:proofErr w:type="spellEnd"/>
      <w:r w:rsidRPr="00CA669A">
        <w:t xml:space="preserve"> 100 (yüz) üzerinden en az 60 (altmış) </w:t>
      </w:r>
      <w:r>
        <w:t xml:space="preserve">puan alan öğrenciler başarılı sayılırlar ve </w:t>
      </w:r>
      <w:r w:rsidRPr="00CA669A">
        <w:t xml:space="preserve">Bahar yarıyılı başında </w:t>
      </w:r>
      <w:r>
        <w:t>lisans eğitimlerine başlayabilir</w:t>
      </w:r>
      <w:r w:rsidR="007F0EFF">
        <w:t>ler</w:t>
      </w:r>
      <w:r w:rsidRPr="00CA669A">
        <w:t>.</w:t>
      </w:r>
    </w:p>
    <w:p w:rsidR="00B04C16" w:rsidRDefault="00A063D1" w:rsidP="005D73D0">
      <w:pPr>
        <w:spacing w:line="240" w:lineRule="auto"/>
        <w:ind w:left="0" w:hanging="2"/>
        <w:jc w:val="both"/>
      </w:pPr>
      <w:r>
        <w:t xml:space="preserve">(5) </w:t>
      </w:r>
      <w:r w:rsidR="003923D0" w:rsidRPr="00CA669A">
        <w:t>Güz</w:t>
      </w:r>
      <w:r w:rsidR="00EA269C" w:rsidRPr="00CA669A">
        <w:t xml:space="preserve"> yarıyılı sonu</w:t>
      </w:r>
      <w:r w:rsidR="00A86CC7" w:rsidRPr="00CA669A">
        <w:t>nda</w:t>
      </w:r>
      <w:r w:rsidR="00EA269C" w:rsidRPr="00CA669A">
        <w:t xml:space="preserve"> yapılan </w:t>
      </w:r>
      <w:proofErr w:type="spellStart"/>
      <w:r w:rsidR="00EA269C" w:rsidRPr="00CA669A">
        <w:t>İYS</w:t>
      </w:r>
      <w:r w:rsidR="00A86CC7" w:rsidRPr="00CA669A">
        <w:t>’den</w:t>
      </w:r>
      <w:proofErr w:type="spellEnd"/>
      <w:r w:rsidR="00EA269C" w:rsidRPr="00CA669A">
        <w:t xml:space="preserve"> </w:t>
      </w:r>
      <w:r w:rsidR="00A86CC7" w:rsidRPr="00CA669A">
        <w:t xml:space="preserve">100 (yüz) üzerinden </w:t>
      </w:r>
      <w:r w:rsidR="00EA269C" w:rsidRPr="00CA669A">
        <w:t xml:space="preserve">en az 70 </w:t>
      </w:r>
      <w:r w:rsidR="002B62CD">
        <w:t>(yetmiş) puan</w:t>
      </w:r>
      <w:r w:rsidR="00EA269C" w:rsidRPr="00CA669A">
        <w:t xml:space="preserve">) </w:t>
      </w:r>
      <w:r w:rsidR="00B94991" w:rsidRPr="00CA669A">
        <w:t>alan öğrenciler</w:t>
      </w:r>
      <w:r w:rsidR="00A86CC7" w:rsidRPr="00CA669A">
        <w:t>,</w:t>
      </w:r>
      <w:r w:rsidR="00EA269C" w:rsidRPr="00CA669A">
        <w:t xml:space="preserve"> İleri İngilizce I ve İleri İngilizce II derslerinden de</w:t>
      </w:r>
      <w:r>
        <w:t xml:space="preserve"> </w:t>
      </w:r>
      <w:r w:rsidR="002B62CD" w:rsidRPr="00CA669A">
        <w:t>BB</w:t>
      </w:r>
      <w:r w:rsidR="002B62CD">
        <w:t xml:space="preserve"> (3.00) harf notu ile </w:t>
      </w:r>
      <w:r>
        <w:t>muaf sayılırlar</w:t>
      </w:r>
      <w:r w:rsidR="00EA269C" w:rsidRPr="00CA669A">
        <w:t>.</w:t>
      </w:r>
    </w:p>
    <w:p w:rsidR="00D8307F" w:rsidRPr="00023806" w:rsidRDefault="00B04C16"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D8307F">
        <w:t xml:space="preserve">(6) Güz yarıyılı sonunda yapılan </w:t>
      </w:r>
      <w:proofErr w:type="spellStart"/>
      <w:r w:rsidRPr="00D8307F">
        <w:t>İYS’den</w:t>
      </w:r>
      <w:proofErr w:type="spellEnd"/>
      <w:r w:rsidRPr="00D8307F">
        <w:t xml:space="preserve"> 59 (elli dokuz) ve altında puan alan ya da </w:t>
      </w:r>
      <w:proofErr w:type="spellStart"/>
      <w:r w:rsidRPr="00D8307F">
        <w:t>İYS’ye</w:t>
      </w:r>
      <w:proofErr w:type="spellEnd"/>
      <w:r w:rsidRPr="00D8307F">
        <w:t xml:space="preserve"> girmeyen A1 ile A2 öğrencileri Bahar yarıyılında B1 düzeyinde ve B1 ile B1+ öğrencileri ise B2 düzeyinde hazırlık öğretimlerine devam ederler. Bu durumdaki öğrenciler, devam zorunluluğunun yerine getirilmesi ve Güz ve Bahar yarıyılı dönem içi başarı notları toplamının ortalamasının en az 60 (altmış) puan olması şartıyla Bahar yarıyılı sonunda yapılan </w:t>
      </w:r>
      <w:proofErr w:type="spellStart"/>
      <w:r w:rsidRPr="00D8307F">
        <w:t>İYS’ye</w:t>
      </w:r>
      <w:proofErr w:type="spellEnd"/>
      <w:r w:rsidRPr="00D8307F">
        <w:t xml:space="preserve"> girebilirler.</w:t>
      </w:r>
      <w:r w:rsidR="00D8307F" w:rsidRPr="00D8307F">
        <w:t xml:space="preserve"> </w:t>
      </w:r>
    </w:p>
    <w:p w:rsidR="00B04C16" w:rsidRPr="00D8307F" w:rsidRDefault="00B04C16" w:rsidP="00B04C16">
      <w:pPr>
        <w:shd w:val="clear" w:color="auto" w:fill="FFFFFF"/>
        <w:spacing w:line="240" w:lineRule="auto"/>
        <w:ind w:left="0" w:right="-144" w:hanging="2"/>
        <w:jc w:val="both"/>
      </w:pPr>
      <w:r w:rsidRPr="00D8307F">
        <w:t xml:space="preserve">(7) Bahar yarıyılı sonunda düzenlenecek </w:t>
      </w:r>
      <w:proofErr w:type="spellStart"/>
      <w:r w:rsidRPr="00D8307F">
        <w:t>İYS’ye</w:t>
      </w:r>
      <w:proofErr w:type="spellEnd"/>
      <w:r w:rsidRPr="00D8307F">
        <w:t xml:space="preserve"> girebilmek için; </w:t>
      </w:r>
    </w:p>
    <w:p w:rsidR="00B04C16" w:rsidRPr="00D8307F" w:rsidRDefault="00B04C16" w:rsidP="000635DA">
      <w:pPr>
        <w:shd w:val="clear" w:color="auto" w:fill="FFFFFF"/>
        <w:spacing w:line="240" w:lineRule="auto"/>
        <w:ind w:left="-2" w:right="-144" w:firstLineChars="118" w:firstLine="283"/>
        <w:jc w:val="both"/>
      </w:pPr>
      <w:r w:rsidRPr="00D8307F">
        <w:t>a) Devam zorunluluğunu yerine getirilmesi,</w:t>
      </w:r>
    </w:p>
    <w:p w:rsidR="00D8307F" w:rsidRPr="00023806" w:rsidRDefault="00B04C16" w:rsidP="000635DA">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2" w:firstLineChars="118" w:firstLine="283"/>
        <w:jc w:val="both"/>
        <w:textDirection w:val="lrTb"/>
        <w:textAlignment w:val="auto"/>
        <w:outlineLvl w:val="9"/>
        <w:rPr>
          <w:strike/>
        </w:rPr>
      </w:pPr>
      <w:r w:rsidRPr="00D8307F">
        <w:t xml:space="preserve">b) Güz ve Bahar yarıyılı dönem içi başarı notları toplamının ortalamasının en az 60 (altmış) puan olması koşullarının sağlanması gerekir. </w:t>
      </w:r>
    </w:p>
    <w:p w:rsidR="00367AAA" w:rsidRPr="00CA669A" w:rsidRDefault="00367AAA" w:rsidP="005D73D0">
      <w:pPr>
        <w:spacing w:line="240" w:lineRule="auto"/>
        <w:ind w:left="0" w:hanging="2"/>
        <w:jc w:val="both"/>
      </w:pPr>
      <w:r>
        <w:t>(8) Bahar</w:t>
      </w:r>
      <w:r w:rsidRPr="00C020C5">
        <w:t xml:space="preserve"> yarıyılı sonunda</w:t>
      </w:r>
      <w:r>
        <w:t xml:space="preserve"> düzenlenecek </w:t>
      </w:r>
      <w:proofErr w:type="spellStart"/>
      <w:r w:rsidRPr="00CA669A">
        <w:t>İYS’den</w:t>
      </w:r>
      <w:proofErr w:type="spellEnd"/>
      <w:r w:rsidRPr="00CA669A">
        <w:t xml:space="preserve"> 100 (yüz) üzerinden en az 60 (altmış) </w:t>
      </w:r>
      <w:r>
        <w:t xml:space="preserve">puan alan öğrenciler başarılı sayılırlar. </w:t>
      </w:r>
    </w:p>
    <w:p w:rsidR="00367AAA" w:rsidRDefault="00367AAA" w:rsidP="005D73D0">
      <w:pPr>
        <w:spacing w:line="240" w:lineRule="auto"/>
        <w:ind w:left="0" w:hanging="2"/>
        <w:jc w:val="both"/>
      </w:pPr>
      <w:r>
        <w:t>(9) Bahar</w:t>
      </w:r>
      <w:r w:rsidRPr="00CA669A">
        <w:t xml:space="preserve"> yarıyılı sonunda yapılan İYS’</w:t>
      </w:r>
      <w:r w:rsidR="00B94991">
        <w:t xml:space="preserve"> </w:t>
      </w:r>
      <w:r w:rsidRPr="00CA669A">
        <w:t xml:space="preserve">den 100 (yüz) üzerinden </w:t>
      </w:r>
      <w:r w:rsidR="00D932E6" w:rsidRPr="00CA669A">
        <w:t xml:space="preserve">en az 70 </w:t>
      </w:r>
      <w:r w:rsidR="00D932E6">
        <w:t>(yetmiş) puan</w:t>
      </w:r>
      <w:r w:rsidR="00D932E6" w:rsidRPr="00CA669A">
        <w:t>) alan öğrenciler, İleri İngilizce I ve İleri İngilizce II derslerinden de</w:t>
      </w:r>
      <w:r w:rsidR="00D932E6">
        <w:t xml:space="preserve"> </w:t>
      </w:r>
      <w:r w:rsidR="00D932E6" w:rsidRPr="00CA669A">
        <w:t>BB</w:t>
      </w:r>
      <w:r w:rsidR="00D932E6">
        <w:t xml:space="preserve"> (3.00) harf notu ile muaf sayılırlar</w:t>
      </w:r>
      <w:r w:rsidR="00D932E6" w:rsidRPr="00CA669A">
        <w:t>.</w:t>
      </w:r>
    </w:p>
    <w:p w:rsidR="00A17B25" w:rsidRDefault="00367AAA" w:rsidP="005D73D0">
      <w:pPr>
        <w:spacing w:line="240" w:lineRule="auto"/>
        <w:ind w:leftChars="0" w:left="0" w:firstLineChars="0" w:firstLine="0"/>
        <w:jc w:val="both"/>
      </w:pPr>
      <w:r>
        <w:t xml:space="preserve">(10) </w:t>
      </w:r>
      <w:r w:rsidR="003923D0" w:rsidRPr="00CA669A">
        <w:t>Bahar</w:t>
      </w:r>
      <w:r w:rsidR="00A17B25" w:rsidRPr="00CA669A">
        <w:t xml:space="preserve"> yarıyılı sonunda yapılan </w:t>
      </w:r>
      <w:proofErr w:type="spellStart"/>
      <w:r w:rsidR="00A17B25" w:rsidRPr="00CA669A">
        <w:t>İYS’den</w:t>
      </w:r>
      <w:proofErr w:type="spellEnd"/>
      <w:r w:rsidR="00A17B25" w:rsidRPr="00CA669A">
        <w:t xml:space="preserve">, </w:t>
      </w:r>
      <w:r w:rsidR="00A17B25" w:rsidRPr="00367AAA">
        <w:t>59</w:t>
      </w:r>
      <w:r>
        <w:t xml:space="preserve"> (elli</w:t>
      </w:r>
      <w:r w:rsidR="00B94991">
        <w:t xml:space="preserve"> </w:t>
      </w:r>
      <w:r>
        <w:t xml:space="preserve">dokuz) ve altında puan alan </w:t>
      </w:r>
      <w:r w:rsidR="00A17B25" w:rsidRPr="00367AAA">
        <w:t>öğrenciler</w:t>
      </w:r>
      <w:r w:rsidR="00A17B25" w:rsidRPr="00CA669A">
        <w:t xml:space="preserve"> beklemeli öğrenci </w:t>
      </w:r>
      <w:r w:rsidR="00D932E6">
        <w:t>olur.</w:t>
      </w:r>
    </w:p>
    <w:p w:rsidR="00943625" w:rsidRDefault="00943625" w:rsidP="005D73D0">
      <w:pPr>
        <w:spacing w:line="240" w:lineRule="auto"/>
        <w:ind w:left="0" w:hanging="2"/>
        <w:rPr>
          <w:b/>
        </w:rPr>
      </w:pPr>
    </w:p>
    <w:p w:rsidR="00367AAA" w:rsidRPr="00367AAA" w:rsidRDefault="00367AAA" w:rsidP="005D73D0">
      <w:pPr>
        <w:spacing w:line="240" w:lineRule="auto"/>
        <w:ind w:left="0" w:hanging="2"/>
        <w:rPr>
          <w:b/>
        </w:rPr>
      </w:pPr>
      <w:r w:rsidRPr="00796538">
        <w:rPr>
          <w:b/>
        </w:rPr>
        <w:t>İzinli S</w:t>
      </w:r>
      <w:r w:rsidR="00EA269C" w:rsidRPr="00796538">
        <w:rPr>
          <w:b/>
        </w:rPr>
        <w:t>ayılma</w:t>
      </w:r>
    </w:p>
    <w:p w:rsidR="00367AAA" w:rsidRDefault="00367AAA" w:rsidP="005D73D0">
      <w:pPr>
        <w:spacing w:line="240" w:lineRule="auto"/>
        <w:ind w:left="0" w:hanging="2"/>
        <w:jc w:val="both"/>
      </w:pPr>
      <w:r>
        <w:rPr>
          <w:b/>
        </w:rPr>
        <w:t>MADDE 13-</w:t>
      </w:r>
      <w:r w:rsidR="00EA269C" w:rsidRPr="00CA669A">
        <w:t xml:space="preserve">(1) </w:t>
      </w:r>
      <w:r w:rsidRPr="00CA669A">
        <w:t xml:space="preserve">Hazırlık </w:t>
      </w:r>
      <w:r>
        <w:t>öğre</w:t>
      </w:r>
      <w:r w:rsidRPr="00CA669A">
        <w:t>timinden izinli s</w:t>
      </w:r>
      <w:r>
        <w:t>ayılmayı talep eden öğrencilerin;</w:t>
      </w:r>
    </w:p>
    <w:p w:rsidR="00733331" w:rsidRDefault="00367AAA" w:rsidP="00D8307F">
      <w:pPr>
        <w:spacing w:line="240" w:lineRule="auto"/>
        <w:ind w:left="-2" w:firstLineChars="118" w:firstLine="283"/>
        <w:jc w:val="both"/>
      </w:pPr>
      <w:r>
        <w:lastRenderedPageBreak/>
        <w:t xml:space="preserve">a) </w:t>
      </w:r>
      <w:r w:rsidR="002F2773">
        <w:t>“</w:t>
      </w:r>
      <w:r w:rsidRPr="00CA669A">
        <w:t>YTÜ Ön Lisans ve Lisans Eğitim-</w:t>
      </w:r>
      <w:r>
        <w:t>Öğretim Yönetmeliği</w:t>
      </w:r>
      <w:r w:rsidR="003D4A91">
        <w:t>”</w:t>
      </w:r>
      <w:r>
        <w:t>nde tanımlanan geçerli mazeretlerinin olması</w:t>
      </w:r>
      <w:r w:rsidR="00733331">
        <w:t xml:space="preserve"> ve bu mazeretlerin belgelendirilmesi,</w:t>
      </w:r>
      <w:r w:rsidRPr="00CA669A">
        <w:t xml:space="preserve"> </w:t>
      </w:r>
    </w:p>
    <w:p w:rsidR="00367AAA" w:rsidRPr="00CA669A" w:rsidRDefault="00733331" w:rsidP="00D8307F">
      <w:pPr>
        <w:spacing w:line="240" w:lineRule="auto"/>
        <w:ind w:left="-2" w:firstLineChars="118" w:firstLine="283"/>
        <w:jc w:val="both"/>
      </w:pPr>
      <w:r>
        <w:t xml:space="preserve">b) Durumlarını belirten bir dilekçe ile </w:t>
      </w:r>
      <w:r w:rsidR="00367AAA" w:rsidRPr="00CA669A">
        <w:t>T</w:t>
      </w:r>
      <w:r>
        <w:t>emel İngilizce Bölüm Başkanlığı</w:t>
      </w:r>
      <w:r w:rsidR="008D13DD">
        <w:t>na başvurmaları gerekir</w:t>
      </w:r>
      <w:r w:rsidR="00367AAA" w:rsidRPr="00CA669A">
        <w:t xml:space="preserve">. </w:t>
      </w:r>
    </w:p>
    <w:p w:rsidR="00D8307F" w:rsidRPr="00023806" w:rsidRDefault="00137439"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D8307F">
        <w:t>2) Hazırlık öğretiminden izinli sayılmaya ilişkin dilekçe ve belgeler Yönetim Kurulu tarafından değerlendirilir. Yönetim Kurulu tarafından uygun görülen izinler yıllık olarak uygulanır. Temel İngilizce Bölümü Zorunlu İngilizce Hazırlık Öğretimi bir yılı kapsadığı için hazırlık eğitiminin sürekliliği açısından yarıyıllık izin verilmez.</w:t>
      </w:r>
      <w:r w:rsidR="00D8307F" w:rsidRPr="00D8307F">
        <w:t xml:space="preserve"> </w:t>
      </w:r>
    </w:p>
    <w:p w:rsidR="006A6898" w:rsidRDefault="006A6898" w:rsidP="005D73D0">
      <w:pPr>
        <w:spacing w:line="240" w:lineRule="auto"/>
        <w:ind w:left="0" w:hanging="2"/>
      </w:pPr>
    </w:p>
    <w:p w:rsidR="007A111F" w:rsidRPr="00CA669A" w:rsidRDefault="00733331" w:rsidP="005D73D0">
      <w:pPr>
        <w:spacing w:line="240" w:lineRule="auto"/>
        <w:ind w:left="0" w:hanging="2"/>
      </w:pPr>
      <w:r>
        <w:rPr>
          <w:b/>
        </w:rPr>
        <w:t>Mazeret S</w:t>
      </w:r>
      <w:r w:rsidR="00EA269C" w:rsidRPr="00CA669A">
        <w:rPr>
          <w:b/>
        </w:rPr>
        <w:t>ınav</w:t>
      </w:r>
      <w:r w:rsidR="006D592E" w:rsidRPr="00CA669A">
        <w:rPr>
          <w:b/>
        </w:rPr>
        <w:t>ları</w:t>
      </w:r>
    </w:p>
    <w:p w:rsidR="003043CF" w:rsidRDefault="00733331" w:rsidP="005D73D0">
      <w:pPr>
        <w:spacing w:line="240" w:lineRule="auto"/>
        <w:ind w:left="0" w:hanging="2"/>
        <w:jc w:val="both"/>
      </w:pPr>
      <w:r>
        <w:rPr>
          <w:b/>
        </w:rPr>
        <w:t>MADDE 14-</w:t>
      </w:r>
      <w:r w:rsidRPr="00733331">
        <w:t xml:space="preserve"> (1)</w:t>
      </w:r>
      <w:r>
        <w:rPr>
          <w:b/>
        </w:rPr>
        <w:t xml:space="preserve"> </w:t>
      </w:r>
      <w:r w:rsidR="0093406B">
        <w:t xml:space="preserve">Mazeret sınavları </w:t>
      </w:r>
      <w:r w:rsidR="00EA269C" w:rsidRPr="00CA669A">
        <w:t>sadece</w:t>
      </w:r>
      <w:r w:rsidR="006D592E" w:rsidRPr="00CA669A">
        <w:t xml:space="preserve"> </w:t>
      </w:r>
      <w:r w:rsidR="00EA269C" w:rsidRPr="00CA669A">
        <w:t xml:space="preserve">ara sınavlar için yapılır. </w:t>
      </w:r>
    </w:p>
    <w:p w:rsidR="003043CF" w:rsidRDefault="003043CF" w:rsidP="005D73D0">
      <w:pPr>
        <w:spacing w:line="240" w:lineRule="auto"/>
        <w:ind w:left="0" w:hanging="2"/>
        <w:jc w:val="both"/>
      </w:pPr>
      <w:r>
        <w:t xml:space="preserve">(2) Herhangi bir mazeret nedeniyle ara sınava giremeyen öğrenciler için, </w:t>
      </w:r>
      <w:r w:rsidR="002F2773">
        <w:t>“</w:t>
      </w:r>
      <w:r>
        <w:t>YTÜ Yarıyıl İçi Sınavları</w:t>
      </w:r>
      <w:r w:rsidRPr="00CA669A">
        <w:t xml:space="preserve"> İçin Mazeretlerin Kabulü ve Mazeret Sına</w:t>
      </w:r>
      <w:r>
        <w:t xml:space="preserve">vlarının </w:t>
      </w:r>
      <w:r w:rsidRPr="00CA669A">
        <w:t>Yapılış Esasları</w:t>
      </w:r>
      <w:r w:rsidR="003D4A91">
        <w:t>”</w:t>
      </w:r>
      <w:r w:rsidR="002F2773">
        <w:t>nda yer alan hükümler</w:t>
      </w:r>
      <w:r w:rsidR="00B53303">
        <w:t xml:space="preserve"> </w:t>
      </w:r>
      <w:r>
        <w:t>uygulanır.</w:t>
      </w:r>
    </w:p>
    <w:p w:rsidR="003043CF" w:rsidRDefault="003043CF" w:rsidP="005D73D0">
      <w:pPr>
        <w:spacing w:line="240" w:lineRule="auto"/>
        <w:ind w:left="0" w:hanging="2"/>
        <w:jc w:val="both"/>
      </w:pPr>
      <w:r>
        <w:t xml:space="preserve">(3) Herhangi bir nedenle mazeret sınavına girmeyen öğrenciler sınav hakkını kaybeder. </w:t>
      </w:r>
    </w:p>
    <w:p w:rsidR="007A111F" w:rsidRPr="00CA669A" w:rsidRDefault="007A111F" w:rsidP="005D73D0">
      <w:pPr>
        <w:spacing w:line="240" w:lineRule="auto"/>
        <w:ind w:left="0" w:hanging="2"/>
        <w:jc w:val="both"/>
      </w:pPr>
    </w:p>
    <w:p w:rsidR="007A111F" w:rsidRPr="00CA669A" w:rsidRDefault="0022007B" w:rsidP="005D73D0">
      <w:pPr>
        <w:spacing w:line="240" w:lineRule="auto"/>
        <w:ind w:left="0" w:hanging="2"/>
      </w:pPr>
      <w:r w:rsidRPr="00CA669A">
        <w:rPr>
          <w:b/>
        </w:rPr>
        <w:t>İYS</w:t>
      </w:r>
      <w:r w:rsidR="00495E28">
        <w:rPr>
          <w:b/>
        </w:rPr>
        <w:t xml:space="preserve"> Sonuçlarına İ</w:t>
      </w:r>
      <w:r w:rsidR="00EA269C" w:rsidRPr="00CA669A">
        <w:rPr>
          <w:b/>
        </w:rPr>
        <w:t>tiraz</w:t>
      </w:r>
    </w:p>
    <w:p w:rsidR="00D8307F" w:rsidRPr="00023806" w:rsidRDefault="002A1F90"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D8307F">
        <w:rPr>
          <w:b/>
        </w:rPr>
        <w:t xml:space="preserve">MADDE 15- </w:t>
      </w:r>
      <w:r w:rsidRPr="00D8307F">
        <w:t xml:space="preserve">(1) Sınav sonuçlarının </w:t>
      </w:r>
      <w:r w:rsidRPr="00D8307F">
        <w:rPr>
          <w:color w:val="auto"/>
        </w:rPr>
        <w:t>ilanını takip eden 3 (üç) iş günü</w:t>
      </w:r>
      <w:r w:rsidRPr="00D8307F">
        <w:rPr>
          <w:b/>
          <w:color w:val="auto"/>
        </w:rPr>
        <w:t xml:space="preserve"> </w:t>
      </w:r>
      <w:r w:rsidRPr="00D8307F">
        <w:t>içinde dilekçe ile itiraz edilebilir. İtiraz dilekçeleri Temel İngilizce Bölüm Başkanlığına elden teslim edilir.</w:t>
      </w:r>
      <w:r>
        <w:t xml:space="preserve"> </w:t>
      </w:r>
    </w:p>
    <w:p w:rsidR="00F84890" w:rsidRDefault="00495E28" w:rsidP="005D73D0">
      <w:pPr>
        <w:spacing w:line="240" w:lineRule="auto"/>
        <w:ind w:left="0" w:hanging="2"/>
        <w:jc w:val="both"/>
      </w:pPr>
      <w:r>
        <w:t>(2</w:t>
      </w:r>
      <w:r w:rsidRPr="00495E28">
        <w:t>)</w:t>
      </w:r>
      <w:r>
        <w:t xml:space="preserve"> </w:t>
      </w:r>
      <w:r w:rsidR="00437E02">
        <w:t xml:space="preserve">Yapılan itirazlar </w:t>
      </w:r>
      <w:r w:rsidR="00EA269C" w:rsidRPr="00495E28">
        <w:t>T</w:t>
      </w:r>
      <w:r>
        <w:t>emel İngilizce Bölüm Başkanlığı</w:t>
      </w:r>
      <w:r w:rsidR="00437E02">
        <w:t xml:space="preserve">nca oluşturulan </w:t>
      </w:r>
      <w:r w:rsidR="00437E02" w:rsidRPr="00495E28">
        <w:t xml:space="preserve">en az </w:t>
      </w:r>
      <w:r w:rsidR="00437E02">
        <w:t xml:space="preserve">3 (üç) </w:t>
      </w:r>
      <w:r w:rsidR="00437E02" w:rsidRPr="00495E28">
        <w:t>kişilik</w:t>
      </w:r>
      <w:r w:rsidR="00437E02">
        <w:t xml:space="preserve"> komisyon tarafından incelenir ve itiraz süresinin bitiminden itibaren en</w:t>
      </w:r>
      <w:r w:rsidR="00437E02" w:rsidRPr="00495E28">
        <w:t xml:space="preserve"> </w:t>
      </w:r>
      <w:r w:rsidR="00437E02">
        <w:t>geç</w:t>
      </w:r>
      <w:r w:rsidR="00437E02" w:rsidRPr="00495E28">
        <w:t xml:space="preserve"> 10</w:t>
      </w:r>
      <w:r w:rsidR="00437E02">
        <w:t xml:space="preserve"> (on)</w:t>
      </w:r>
      <w:r w:rsidR="00437E02" w:rsidRPr="00495E28">
        <w:t xml:space="preserve"> iş günü içinde </w:t>
      </w:r>
      <w:r w:rsidR="00437E02">
        <w:t>karara bağlanarak ilan edilir.</w:t>
      </w:r>
    </w:p>
    <w:p w:rsidR="00B65CAA" w:rsidRDefault="00B65CAA" w:rsidP="005D73D0">
      <w:pPr>
        <w:spacing w:line="240" w:lineRule="auto"/>
        <w:ind w:leftChars="0" w:left="0" w:firstLineChars="0" w:firstLine="0"/>
        <w:jc w:val="both"/>
      </w:pPr>
    </w:p>
    <w:p w:rsidR="00D8307F" w:rsidRDefault="00D8307F" w:rsidP="005D73D0">
      <w:pPr>
        <w:spacing w:line="240" w:lineRule="auto"/>
        <w:ind w:leftChars="0" w:left="0" w:firstLineChars="0" w:firstLine="0"/>
        <w:jc w:val="both"/>
      </w:pPr>
    </w:p>
    <w:p w:rsidR="007A111F" w:rsidRDefault="00EA269C" w:rsidP="005D73D0">
      <w:pPr>
        <w:spacing w:line="240" w:lineRule="auto"/>
        <w:ind w:left="0" w:hanging="2"/>
        <w:jc w:val="center"/>
      </w:pPr>
      <w:r>
        <w:rPr>
          <w:b/>
        </w:rPr>
        <w:t>ÜÇÜNCÜ BÖLÜM</w:t>
      </w:r>
    </w:p>
    <w:p w:rsidR="00437E02" w:rsidRDefault="00EA269C" w:rsidP="005D73D0">
      <w:pPr>
        <w:spacing w:line="240" w:lineRule="auto"/>
        <w:ind w:left="0" w:hanging="2"/>
        <w:jc w:val="center"/>
      </w:pPr>
      <w:r>
        <w:rPr>
          <w:b/>
        </w:rPr>
        <w:t>Zorunlu ve Seçmeli Yabancı Dil Dersleri</w:t>
      </w:r>
      <w:r w:rsidR="00437E02">
        <w:rPr>
          <w:b/>
        </w:rPr>
        <w:t>ne İlişkin Esaslar</w:t>
      </w:r>
    </w:p>
    <w:p w:rsidR="007A111F" w:rsidRDefault="007A111F" w:rsidP="005D73D0">
      <w:pPr>
        <w:spacing w:line="240" w:lineRule="auto"/>
        <w:ind w:left="0" w:hanging="2"/>
        <w:jc w:val="center"/>
      </w:pPr>
    </w:p>
    <w:p w:rsidR="007A111F" w:rsidRPr="00437E02" w:rsidRDefault="00E27D0F" w:rsidP="005D73D0">
      <w:pPr>
        <w:spacing w:line="240" w:lineRule="auto"/>
        <w:ind w:left="0" w:hanging="2"/>
        <w:jc w:val="both"/>
        <w:rPr>
          <w:b/>
        </w:rPr>
      </w:pPr>
      <w:r>
        <w:rPr>
          <w:b/>
        </w:rPr>
        <w:t>Uygulama</w:t>
      </w:r>
    </w:p>
    <w:p w:rsidR="007A111F" w:rsidRDefault="00DA5050" w:rsidP="005D73D0">
      <w:pPr>
        <w:spacing w:line="240" w:lineRule="auto"/>
        <w:ind w:left="0" w:hanging="2"/>
        <w:jc w:val="both"/>
      </w:pPr>
      <w:r>
        <w:rPr>
          <w:b/>
        </w:rPr>
        <w:t>MADDE 16</w:t>
      </w:r>
      <w:r w:rsidR="00EA269C">
        <w:t xml:space="preserve"> </w:t>
      </w:r>
      <w:r w:rsidR="00EA269C">
        <w:rPr>
          <w:b/>
        </w:rPr>
        <w:t xml:space="preserve">– </w:t>
      </w:r>
      <w:r w:rsidR="00EA269C">
        <w:t xml:space="preserve">(1) </w:t>
      </w:r>
      <w:r w:rsidR="004B4967">
        <w:t>Z</w:t>
      </w:r>
      <w:r w:rsidR="00EA269C">
        <w:t>orunlu ve seçm</w:t>
      </w:r>
      <w:r w:rsidR="004B4967">
        <w:t>eli yabancı dil dersleri Modern Diller Bölümü tarafından yürütülür.</w:t>
      </w:r>
    </w:p>
    <w:p w:rsidR="00437E02" w:rsidRDefault="00437E02" w:rsidP="005D73D0">
      <w:pPr>
        <w:spacing w:line="240" w:lineRule="auto"/>
        <w:ind w:left="0" w:hanging="2"/>
        <w:jc w:val="both"/>
      </w:pPr>
    </w:p>
    <w:p w:rsidR="00437E02" w:rsidRPr="00CA669A" w:rsidRDefault="003E2F51" w:rsidP="005D73D0">
      <w:pPr>
        <w:spacing w:line="240" w:lineRule="auto"/>
        <w:ind w:left="0" w:hanging="2"/>
      </w:pPr>
      <w:r>
        <w:rPr>
          <w:b/>
        </w:rPr>
        <w:t>Devam Z</w:t>
      </w:r>
      <w:r w:rsidR="00437E02" w:rsidRPr="00CA669A">
        <w:rPr>
          <w:b/>
        </w:rPr>
        <w:t>orunluluğu</w:t>
      </w:r>
    </w:p>
    <w:p w:rsidR="00E27D0F" w:rsidRDefault="00E27D0F" w:rsidP="005D73D0">
      <w:pPr>
        <w:spacing w:line="240" w:lineRule="auto"/>
        <w:ind w:left="0" w:hanging="2"/>
        <w:jc w:val="both"/>
      </w:pPr>
      <w:r>
        <w:rPr>
          <w:b/>
        </w:rPr>
        <w:t>MADDE 17</w:t>
      </w:r>
      <w:r w:rsidR="00437E02">
        <w:rPr>
          <w:b/>
        </w:rPr>
        <w:t>-</w:t>
      </w:r>
      <w:r w:rsidR="00437E02">
        <w:t xml:space="preserve"> (1) </w:t>
      </w:r>
      <w:r>
        <w:t>Modern Diller Bölümü tarafından yürütülen zorunlu ve</w:t>
      </w:r>
      <w:r w:rsidR="006F0146">
        <w:t xml:space="preserve"> seçmeli yabancı dil derslerine</w:t>
      </w:r>
      <w:r>
        <w:t xml:space="preserve"> </w:t>
      </w:r>
      <w:r w:rsidR="00437E02">
        <w:t>%70</w:t>
      </w:r>
      <w:r w:rsidR="006F0146">
        <w:t xml:space="preserve"> oranında</w:t>
      </w:r>
      <w:r>
        <w:t xml:space="preserve"> devam etmek zorunludur</w:t>
      </w:r>
      <w:r w:rsidRPr="00CA669A">
        <w:t>.</w:t>
      </w:r>
      <w:r>
        <w:t xml:space="preserve"> </w:t>
      </w:r>
      <w:r w:rsidR="00437E02">
        <w:t xml:space="preserve"> </w:t>
      </w:r>
    </w:p>
    <w:p w:rsidR="00E27D0F" w:rsidRDefault="00E27D0F" w:rsidP="005D73D0">
      <w:pPr>
        <w:pStyle w:val="ListeParagraf"/>
        <w:shd w:val="clear" w:color="auto" w:fill="FFFFFF"/>
        <w:spacing w:line="240" w:lineRule="auto"/>
        <w:ind w:leftChars="0" w:left="0" w:firstLineChars="0" w:firstLine="0"/>
        <w:jc w:val="both"/>
        <w:rPr>
          <w:rFonts w:ascii="Times New Roman" w:eastAsia="Times New Roman" w:hAnsi="Times New Roman"/>
          <w:sz w:val="24"/>
          <w:szCs w:val="24"/>
          <w:lang w:val="tr-TR" w:eastAsia="tr-TR"/>
        </w:rPr>
      </w:pPr>
      <w:r>
        <w:rPr>
          <w:rFonts w:ascii="Times New Roman" w:hAnsi="Times New Roman"/>
        </w:rPr>
        <w:t>(</w:t>
      </w:r>
      <w:r w:rsidR="003E2F51">
        <w:rPr>
          <w:rFonts w:ascii="Times New Roman" w:hAnsi="Times New Roman"/>
        </w:rPr>
        <w:t>2</w:t>
      </w:r>
      <w:r w:rsidRPr="00C020C5">
        <w:rPr>
          <w:rFonts w:ascii="Times New Roman" w:hAnsi="Times New Roman"/>
        </w:rPr>
        <w:t>)</w:t>
      </w:r>
      <w:r>
        <w:t xml:space="preserve"> </w:t>
      </w:r>
      <w:r w:rsidRPr="00C020C5">
        <w:rPr>
          <w:rFonts w:ascii="Times New Roman" w:eastAsia="Times New Roman" w:hAnsi="Times New Roman"/>
          <w:sz w:val="24"/>
          <w:szCs w:val="24"/>
          <w:lang w:val="tr-TR" w:eastAsia="tr-TR"/>
        </w:rPr>
        <w:t xml:space="preserve">Öğrenciler kendi adlarına yapacakları her türlü </w:t>
      </w:r>
      <w:r w:rsidR="0036131C" w:rsidRPr="0036131C">
        <w:rPr>
          <w:rFonts w:ascii="Times New Roman" w:eastAsia="Times New Roman" w:hAnsi="Times New Roman"/>
          <w:sz w:val="24"/>
          <w:szCs w:val="24"/>
          <w:lang w:val="tr-TR" w:eastAsia="tr-TR"/>
        </w:rPr>
        <w:t>sosyal, sportif, vb. etkinlik katılımı ile (Sağlık Kurulu Raporu hariç) raporlu olmaları</w:t>
      </w:r>
      <w:r w:rsidRPr="00C020C5">
        <w:rPr>
          <w:rFonts w:ascii="Times New Roman" w:eastAsia="Times New Roman" w:hAnsi="Times New Roman"/>
          <w:sz w:val="24"/>
          <w:szCs w:val="24"/>
          <w:lang w:val="tr-TR" w:eastAsia="tr-TR"/>
        </w:rPr>
        <w:t xml:space="preserve"> gibi tüm mazeretl</w:t>
      </w:r>
      <w:r>
        <w:rPr>
          <w:rFonts w:ascii="Times New Roman" w:eastAsia="Times New Roman" w:hAnsi="Times New Roman"/>
          <w:sz w:val="24"/>
          <w:szCs w:val="24"/>
          <w:lang w:val="tr-TR" w:eastAsia="tr-TR"/>
        </w:rPr>
        <w:t>erini kendilerine tanınan bu %30</w:t>
      </w:r>
      <w:r w:rsidRPr="00C020C5">
        <w:rPr>
          <w:rFonts w:ascii="Times New Roman" w:eastAsia="Times New Roman" w:hAnsi="Times New Roman"/>
          <w:sz w:val="24"/>
          <w:szCs w:val="24"/>
          <w:lang w:val="tr-TR" w:eastAsia="tr-TR"/>
        </w:rPr>
        <w:t xml:space="preserve"> devamsızlık süresi içinde kullanmak zorundadırlar. </w:t>
      </w:r>
    </w:p>
    <w:p w:rsidR="00437E02" w:rsidRDefault="00E27D0F" w:rsidP="005D73D0">
      <w:pPr>
        <w:pStyle w:val="ListeParagraf"/>
        <w:shd w:val="clear" w:color="auto" w:fill="FFFFFF"/>
        <w:spacing w:line="240" w:lineRule="auto"/>
        <w:ind w:leftChars="0" w:left="0" w:firstLineChars="0" w:firstLine="0"/>
        <w:jc w:val="both"/>
        <w:rPr>
          <w:rFonts w:ascii="Times New Roman" w:eastAsia="Times New Roman" w:hAnsi="Times New Roman"/>
          <w:sz w:val="24"/>
          <w:szCs w:val="24"/>
          <w:lang w:val="tr-TR" w:eastAsia="tr-TR"/>
        </w:rPr>
      </w:pPr>
      <w:r>
        <w:rPr>
          <w:rFonts w:ascii="Times New Roman" w:eastAsia="Times New Roman" w:hAnsi="Times New Roman"/>
          <w:sz w:val="24"/>
          <w:szCs w:val="24"/>
          <w:lang w:val="tr-TR" w:eastAsia="tr-TR"/>
        </w:rPr>
        <w:t>(</w:t>
      </w:r>
      <w:r w:rsidR="003E2F51">
        <w:rPr>
          <w:rFonts w:ascii="Times New Roman" w:eastAsia="Times New Roman" w:hAnsi="Times New Roman"/>
          <w:sz w:val="24"/>
          <w:szCs w:val="24"/>
          <w:lang w:val="tr-TR" w:eastAsia="tr-TR"/>
        </w:rPr>
        <w:t>3</w:t>
      </w:r>
      <w:r w:rsidRPr="00C020C5">
        <w:rPr>
          <w:rFonts w:ascii="Times New Roman" w:eastAsia="Times New Roman" w:hAnsi="Times New Roman"/>
          <w:sz w:val="24"/>
          <w:szCs w:val="24"/>
          <w:lang w:val="tr-TR" w:eastAsia="tr-TR"/>
        </w:rPr>
        <w:t xml:space="preserve">) </w:t>
      </w:r>
      <w:r w:rsidR="006F0146">
        <w:rPr>
          <w:rFonts w:ascii="Times New Roman" w:eastAsia="Times New Roman" w:hAnsi="Times New Roman"/>
          <w:sz w:val="24"/>
          <w:szCs w:val="24"/>
          <w:lang w:val="tr-TR" w:eastAsia="tr-TR"/>
        </w:rPr>
        <w:t>Üniversite adına</w:t>
      </w:r>
      <w:r w:rsidRPr="00C020C5">
        <w:rPr>
          <w:rFonts w:ascii="Times New Roman" w:eastAsia="Times New Roman" w:hAnsi="Times New Roman"/>
          <w:sz w:val="24"/>
          <w:szCs w:val="24"/>
          <w:lang w:val="tr-TR" w:eastAsia="tr-TR"/>
        </w:rPr>
        <w:t xml:space="preserve"> sportif ve kültürel etkinliklere katıl</w:t>
      </w:r>
      <w:r>
        <w:rPr>
          <w:rFonts w:ascii="Times New Roman" w:eastAsia="Times New Roman" w:hAnsi="Times New Roman"/>
          <w:sz w:val="24"/>
          <w:szCs w:val="24"/>
          <w:lang w:val="tr-TR" w:eastAsia="tr-TR"/>
        </w:rPr>
        <w:t>an öğrencilerin devamsızlığı %30</w:t>
      </w:r>
      <w:r w:rsidRPr="00C020C5">
        <w:rPr>
          <w:rFonts w:ascii="Times New Roman" w:eastAsia="Times New Roman" w:hAnsi="Times New Roman"/>
          <w:sz w:val="24"/>
          <w:szCs w:val="24"/>
          <w:lang w:val="tr-TR" w:eastAsia="tr-TR"/>
        </w:rPr>
        <w:t xml:space="preserve"> devamsızlık </w:t>
      </w:r>
      <w:r w:rsidR="003E2F51">
        <w:rPr>
          <w:rFonts w:ascii="Times New Roman" w:eastAsia="Times New Roman" w:hAnsi="Times New Roman"/>
          <w:sz w:val="24"/>
          <w:szCs w:val="24"/>
          <w:lang w:val="tr-TR" w:eastAsia="tr-TR"/>
        </w:rPr>
        <w:t>süresi içinde değerlendirilmez.</w:t>
      </w:r>
    </w:p>
    <w:p w:rsidR="007A111F" w:rsidRDefault="00D7388D" w:rsidP="00D8307F">
      <w:pPr>
        <w:spacing w:line="240" w:lineRule="auto"/>
        <w:ind w:leftChars="0" w:left="0" w:firstLineChars="0" w:firstLine="0"/>
        <w:jc w:val="both"/>
      </w:pPr>
      <w:r>
        <w:rPr>
          <w:b/>
        </w:rPr>
        <w:t>M</w:t>
      </w:r>
      <w:r w:rsidR="00B15F81">
        <w:rPr>
          <w:b/>
        </w:rPr>
        <w:t>uafiyet</w:t>
      </w:r>
    </w:p>
    <w:p w:rsidR="00B15F81" w:rsidRDefault="00D7388D" w:rsidP="005D73D0">
      <w:pPr>
        <w:spacing w:line="240" w:lineRule="auto"/>
        <w:ind w:left="0" w:hanging="2"/>
        <w:jc w:val="both"/>
        <w:rPr>
          <w:strike/>
        </w:rPr>
      </w:pPr>
      <w:r>
        <w:rPr>
          <w:b/>
        </w:rPr>
        <w:t xml:space="preserve">MADDE </w:t>
      </w:r>
      <w:r w:rsidR="00564AC6">
        <w:rPr>
          <w:b/>
        </w:rPr>
        <w:t>18</w:t>
      </w:r>
      <w:r w:rsidR="00EA269C">
        <w:rPr>
          <w:b/>
        </w:rPr>
        <w:t xml:space="preserve"> –</w:t>
      </w:r>
      <w:r w:rsidR="00D770EB">
        <w:rPr>
          <w:b/>
        </w:rPr>
        <w:t xml:space="preserve"> </w:t>
      </w:r>
      <w:r w:rsidR="00EA269C">
        <w:t xml:space="preserve">(1) Eğitim dili %30 ve </w:t>
      </w:r>
      <w:r w:rsidR="00B15F81">
        <w:t xml:space="preserve">üzeri İngilizce olan bir bölüme </w:t>
      </w:r>
      <w:r w:rsidR="00EA269C">
        <w:t xml:space="preserve">kayıt yaptıran </w:t>
      </w:r>
      <w:r w:rsidR="006F0146">
        <w:t>öğrenciler ile</w:t>
      </w:r>
      <w:r w:rsidR="00EA269C">
        <w:t xml:space="preserve"> beklemeli öğrencilerin, İleri İngilizce I ve </w:t>
      </w:r>
      <w:r w:rsidR="00B15F81">
        <w:t>İleri İngilizce II</w:t>
      </w:r>
      <w:r w:rsidR="009068CE">
        <w:t xml:space="preserve"> derslerinden muafiyet puanları</w:t>
      </w:r>
      <w:r w:rsidR="00B15F81">
        <w:t xml:space="preserve"> </w:t>
      </w:r>
    </w:p>
    <w:p w:rsidR="00D8307F" w:rsidRPr="00023806" w:rsidRDefault="009E7731"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proofErr w:type="gramStart"/>
      <w:r w:rsidRPr="00D8307F">
        <w:t>aşağıdaki</w:t>
      </w:r>
      <w:proofErr w:type="gramEnd"/>
      <w:r w:rsidRPr="00D8307F">
        <w:t xml:space="preserve"> tabloda yer alan şekilde uygulanır.</w:t>
      </w:r>
      <w:r w:rsidR="00D8307F">
        <w:t xml:space="preserve"> </w:t>
      </w:r>
    </w:p>
    <w:p w:rsidR="00B15F81" w:rsidRDefault="00B15F81" w:rsidP="005D73D0">
      <w:pPr>
        <w:spacing w:line="240" w:lineRule="auto"/>
        <w:ind w:left="0" w:hanging="2"/>
        <w:jc w:val="both"/>
      </w:pPr>
    </w:p>
    <w:tbl>
      <w:tblPr>
        <w:tblStyle w:val="aa"/>
        <w:tblW w:w="8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701"/>
        <w:gridCol w:w="1559"/>
        <w:gridCol w:w="1417"/>
      </w:tblGrid>
      <w:tr w:rsidR="007A111F" w:rsidTr="00BD67DF">
        <w:trPr>
          <w:jc w:val="center"/>
        </w:trPr>
        <w:tc>
          <w:tcPr>
            <w:tcW w:w="3828" w:type="dxa"/>
          </w:tcPr>
          <w:p w:rsidR="007A111F" w:rsidRPr="00B15F81" w:rsidRDefault="00EA269C" w:rsidP="005D73D0">
            <w:pPr>
              <w:spacing w:line="240" w:lineRule="auto"/>
              <w:ind w:left="0" w:hanging="2"/>
              <w:rPr>
                <w:rFonts w:eastAsia="Calibri"/>
                <w:sz w:val="22"/>
                <w:szCs w:val="22"/>
              </w:rPr>
            </w:pPr>
            <w:r w:rsidRPr="00B15F81">
              <w:rPr>
                <w:rFonts w:eastAsia="Calibri"/>
                <w:b/>
                <w:sz w:val="22"/>
                <w:szCs w:val="22"/>
              </w:rPr>
              <w:t>Sınavlar</w:t>
            </w:r>
          </w:p>
        </w:tc>
        <w:tc>
          <w:tcPr>
            <w:tcW w:w="1701" w:type="dxa"/>
          </w:tcPr>
          <w:p w:rsidR="007A111F" w:rsidRPr="00B15F81" w:rsidRDefault="00EA269C" w:rsidP="005D73D0">
            <w:pPr>
              <w:spacing w:line="240" w:lineRule="auto"/>
              <w:ind w:left="0" w:hanging="2"/>
              <w:jc w:val="center"/>
              <w:rPr>
                <w:rFonts w:eastAsia="Calibri"/>
                <w:sz w:val="22"/>
                <w:szCs w:val="22"/>
              </w:rPr>
            </w:pPr>
            <w:r w:rsidRPr="00B15F81">
              <w:rPr>
                <w:rFonts w:eastAsia="Calibri"/>
                <w:b/>
                <w:sz w:val="22"/>
                <w:szCs w:val="22"/>
              </w:rPr>
              <w:t>BB</w:t>
            </w:r>
          </w:p>
        </w:tc>
        <w:tc>
          <w:tcPr>
            <w:tcW w:w="1559" w:type="dxa"/>
          </w:tcPr>
          <w:p w:rsidR="007A111F" w:rsidRPr="00B15F81" w:rsidRDefault="00EA269C" w:rsidP="005D73D0">
            <w:pPr>
              <w:spacing w:line="240" w:lineRule="auto"/>
              <w:ind w:left="0" w:hanging="2"/>
              <w:jc w:val="center"/>
              <w:rPr>
                <w:rFonts w:eastAsia="Calibri"/>
                <w:sz w:val="22"/>
                <w:szCs w:val="22"/>
              </w:rPr>
            </w:pPr>
            <w:r w:rsidRPr="00B15F81">
              <w:rPr>
                <w:rFonts w:eastAsia="Calibri"/>
                <w:b/>
                <w:sz w:val="22"/>
                <w:szCs w:val="22"/>
              </w:rPr>
              <w:t>BA</w:t>
            </w:r>
          </w:p>
        </w:tc>
        <w:tc>
          <w:tcPr>
            <w:tcW w:w="1417" w:type="dxa"/>
          </w:tcPr>
          <w:p w:rsidR="007A111F" w:rsidRPr="00B15F81" w:rsidRDefault="00EA269C" w:rsidP="005D73D0">
            <w:pPr>
              <w:spacing w:line="240" w:lineRule="auto"/>
              <w:ind w:left="0" w:hanging="2"/>
              <w:jc w:val="center"/>
              <w:rPr>
                <w:rFonts w:eastAsia="Calibri"/>
                <w:sz w:val="22"/>
                <w:szCs w:val="22"/>
              </w:rPr>
            </w:pPr>
            <w:r w:rsidRPr="00B15F81">
              <w:rPr>
                <w:rFonts w:eastAsia="Calibri"/>
                <w:b/>
                <w:sz w:val="22"/>
                <w:szCs w:val="22"/>
              </w:rPr>
              <w:t>AA</w:t>
            </w:r>
          </w:p>
        </w:tc>
      </w:tr>
      <w:tr w:rsidR="007A111F" w:rsidTr="00BD67DF">
        <w:trPr>
          <w:jc w:val="center"/>
        </w:trPr>
        <w:tc>
          <w:tcPr>
            <w:tcW w:w="3828" w:type="dxa"/>
          </w:tcPr>
          <w:p w:rsidR="007A111F" w:rsidRPr="00C8786F" w:rsidRDefault="00EA269C" w:rsidP="005D73D0">
            <w:pPr>
              <w:spacing w:line="240" w:lineRule="auto"/>
              <w:ind w:left="0" w:hanging="2"/>
              <w:rPr>
                <w:rFonts w:eastAsia="Calibri"/>
                <w:bCs/>
                <w:sz w:val="22"/>
                <w:szCs w:val="22"/>
              </w:rPr>
            </w:pPr>
            <w:r w:rsidRPr="00C8786F">
              <w:rPr>
                <w:rFonts w:eastAsia="Calibri"/>
                <w:bCs/>
                <w:sz w:val="22"/>
                <w:szCs w:val="22"/>
              </w:rPr>
              <w:t>İYS</w:t>
            </w:r>
          </w:p>
        </w:tc>
        <w:tc>
          <w:tcPr>
            <w:tcW w:w="1701"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70-79</w:t>
            </w:r>
          </w:p>
        </w:tc>
        <w:tc>
          <w:tcPr>
            <w:tcW w:w="1559"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80-89</w:t>
            </w:r>
          </w:p>
        </w:tc>
        <w:tc>
          <w:tcPr>
            <w:tcW w:w="1417"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90-100</w:t>
            </w:r>
          </w:p>
        </w:tc>
      </w:tr>
      <w:tr w:rsidR="007A111F" w:rsidTr="00BD67DF">
        <w:trPr>
          <w:jc w:val="center"/>
        </w:trPr>
        <w:tc>
          <w:tcPr>
            <w:tcW w:w="3828" w:type="dxa"/>
          </w:tcPr>
          <w:p w:rsidR="007A111F" w:rsidRPr="00C8786F" w:rsidRDefault="00EA269C" w:rsidP="005D73D0">
            <w:pPr>
              <w:spacing w:line="240" w:lineRule="auto"/>
              <w:ind w:left="0" w:hanging="2"/>
              <w:rPr>
                <w:rFonts w:eastAsia="Calibri"/>
                <w:bCs/>
                <w:sz w:val="22"/>
                <w:szCs w:val="22"/>
              </w:rPr>
            </w:pPr>
            <w:r w:rsidRPr="00C8786F">
              <w:rPr>
                <w:rFonts w:eastAsia="Calibri"/>
                <w:bCs/>
                <w:sz w:val="22"/>
                <w:szCs w:val="22"/>
              </w:rPr>
              <w:t>YDS</w:t>
            </w:r>
            <w:r w:rsidR="00E041E9">
              <w:rPr>
                <w:rFonts w:eastAsia="Calibri"/>
                <w:bCs/>
                <w:sz w:val="22"/>
                <w:szCs w:val="22"/>
              </w:rPr>
              <w:t xml:space="preserve">, </w:t>
            </w:r>
            <w:r w:rsidRPr="00C8786F">
              <w:rPr>
                <w:rFonts w:eastAsia="Calibri"/>
                <w:bCs/>
                <w:sz w:val="22"/>
                <w:szCs w:val="22"/>
              </w:rPr>
              <w:t>e-YDS</w:t>
            </w:r>
            <w:r w:rsidR="00E041E9">
              <w:rPr>
                <w:rFonts w:eastAsia="Calibri"/>
                <w:bCs/>
                <w:sz w:val="22"/>
                <w:szCs w:val="22"/>
              </w:rPr>
              <w:t xml:space="preserve">, </w:t>
            </w:r>
            <w:r w:rsidRPr="00C8786F">
              <w:rPr>
                <w:rFonts w:eastAsia="Calibri"/>
                <w:bCs/>
                <w:sz w:val="22"/>
                <w:szCs w:val="22"/>
              </w:rPr>
              <w:t>YÖKDİL</w:t>
            </w:r>
          </w:p>
        </w:tc>
        <w:tc>
          <w:tcPr>
            <w:tcW w:w="1701"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70-79</w:t>
            </w:r>
          </w:p>
        </w:tc>
        <w:tc>
          <w:tcPr>
            <w:tcW w:w="1559"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80-89</w:t>
            </w:r>
          </w:p>
        </w:tc>
        <w:tc>
          <w:tcPr>
            <w:tcW w:w="1417"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90-100</w:t>
            </w:r>
          </w:p>
        </w:tc>
      </w:tr>
      <w:tr w:rsidR="007A111F" w:rsidTr="00BD67DF">
        <w:trPr>
          <w:jc w:val="center"/>
        </w:trPr>
        <w:tc>
          <w:tcPr>
            <w:tcW w:w="3828" w:type="dxa"/>
          </w:tcPr>
          <w:p w:rsidR="007A111F" w:rsidRPr="00C8786F" w:rsidRDefault="00EA269C" w:rsidP="005D73D0">
            <w:pPr>
              <w:spacing w:line="240" w:lineRule="auto"/>
              <w:ind w:left="0" w:hanging="2"/>
              <w:rPr>
                <w:rFonts w:eastAsia="Calibri"/>
                <w:bCs/>
                <w:sz w:val="22"/>
                <w:szCs w:val="22"/>
              </w:rPr>
            </w:pPr>
            <w:r w:rsidRPr="00C8786F">
              <w:rPr>
                <w:rFonts w:eastAsia="Calibri"/>
                <w:bCs/>
                <w:sz w:val="22"/>
                <w:szCs w:val="22"/>
              </w:rPr>
              <w:t>TOEFL IBT</w:t>
            </w:r>
          </w:p>
        </w:tc>
        <w:tc>
          <w:tcPr>
            <w:tcW w:w="1701"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84-95</w:t>
            </w:r>
          </w:p>
        </w:tc>
        <w:tc>
          <w:tcPr>
            <w:tcW w:w="1559"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96-107</w:t>
            </w:r>
          </w:p>
        </w:tc>
        <w:tc>
          <w:tcPr>
            <w:tcW w:w="1417"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108-120</w:t>
            </w:r>
          </w:p>
        </w:tc>
      </w:tr>
      <w:tr w:rsidR="007A111F" w:rsidTr="00BD67DF">
        <w:trPr>
          <w:jc w:val="center"/>
        </w:trPr>
        <w:tc>
          <w:tcPr>
            <w:tcW w:w="3828" w:type="dxa"/>
          </w:tcPr>
          <w:p w:rsidR="007A111F" w:rsidRPr="00C8786F" w:rsidRDefault="00EA269C" w:rsidP="005D73D0">
            <w:pPr>
              <w:spacing w:line="240" w:lineRule="auto"/>
              <w:ind w:left="0" w:hanging="2"/>
              <w:rPr>
                <w:rFonts w:eastAsia="Calibri"/>
                <w:bCs/>
                <w:sz w:val="22"/>
                <w:szCs w:val="22"/>
              </w:rPr>
            </w:pPr>
            <w:r w:rsidRPr="00C8786F">
              <w:rPr>
                <w:rFonts w:eastAsia="Calibri"/>
                <w:bCs/>
                <w:sz w:val="22"/>
                <w:szCs w:val="22"/>
              </w:rPr>
              <w:t>PTE Akademik</w:t>
            </w:r>
          </w:p>
        </w:tc>
        <w:tc>
          <w:tcPr>
            <w:tcW w:w="1701"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71-77</w:t>
            </w:r>
          </w:p>
        </w:tc>
        <w:tc>
          <w:tcPr>
            <w:tcW w:w="1559"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78-83</w:t>
            </w:r>
          </w:p>
        </w:tc>
        <w:tc>
          <w:tcPr>
            <w:tcW w:w="1417" w:type="dxa"/>
          </w:tcPr>
          <w:p w:rsidR="007A111F" w:rsidRPr="00B15F81" w:rsidRDefault="00EA269C" w:rsidP="005D73D0">
            <w:pPr>
              <w:spacing w:line="240" w:lineRule="auto"/>
              <w:ind w:left="0" w:hanging="2"/>
              <w:jc w:val="center"/>
              <w:rPr>
                <w:rFonts w:eastAsia="Calibri"/>
                <w:sz w:val="22"/>
                <w:szCs w:val="22"/>
              </w:rPr>
            </w:pPr>
            <w:r w:rsidRPr="00B15F81">
              <w:rPr>
                <w:rFonts w:eastAsia="Calibri"/>
                <w:sz w:val="22"/>
                <w:szCs w:val="22"/>
              </w:rPr>
              <w:t>84-90</w:t>
            </w:r>
          </w:p>
        </w:tc>
      </w:tr>
    </w:tbl>
    <w:p w:rsidR="00437882" w:rsidRDefault="00C00DCC" w:rsidP="005D73D0">
      <w:pPr>
        <w:spacing w:line="240" w:lineRule="auto"/>
        <w:ind w:left="0" w:hanging="2"/>
        <w:jc w:val="both"/>
      </w:pPr>
      <w:r>
        <w:t xml:space="preserve"> </w:t>
      </w:r>
    </w:p>
    <w:p w:rsidR="00D8307F" w:rsidRPr="00023806" w:rsidRDefault="00DA7541"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lastRenderedPageBreak/>
        <w:t>(</w:t>
      </w:r>
      <w:r w:rsidR="00EA269C">
        <w:t xml:space="preserve">2) Eğitim </w:t>
      </w:r>
      <w:r w:rsidR="00B15F81">
        <w:t>dili Türkçe olan bir bölüme</w:t>
      </w:r>
      <w:r w:rsidR="00EA269C">
        <w:t xml:space="preserve"> kayıt yaptıran öğrencilerin, İngilizce I ve</w:t>
      </w:r>
      <w:r w:rsidR="00B15F81">
        <w:t xml:space="preserve"> İngilizce II derslerinden</w:t>
      </w:r>
      <w:r w:rsidR="009068CE">
        <w:t xml:space="preserve"> muafiyet puanları</w:t>
      </w:r>
      <w:r w:rsidR="00EA269C">
        <w:t xml:space="preserve"> </w:t>
      </w:r>
      <w:r w:rsidRPr="00D8307F">
        <w:t xml:space="preserve">aşağıdaki tabloda yer alan şekilde uygulanır. </w:t>
      </w:r>
    </w:p>
    <w:tbl>
      <w:tblPr>
        <w:tblStyle w:val="ab"/>
        <w:tblW w:w="8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134"/>
        <w:gridCol w:w="1134"/>
        <w:gridCol w:w="1134"/>
        <w:gridCol w:w="1275"/>
      </w:tblGrid>
      <w:tr w:rsidR="007A111F" w:rsidTr="00BD67DF">
        <w:trPr>
          <w:jc w:val="center"/>
        </w:trPr>
        <w:tc>
          <w:tcPr>
            <w:tcW w:w="3828" w:type="dxa"/>
          </w:tcPr>
          <w:p w:rsidR="007A111F" w:rsidRPr="00D426CF" w:rsidRDefault="00EA269C" w:rsidP="005D73D0">
            <w:pPr>
              <w:spacing w:line="240" w:lineRule="auto"/>
              <w:ind w:left="0" w:hanging="2"/>
              <w:rPr>
                <w:rFonts w:eastAsia="Calibri"/>
                <w:sz w:val="22"/>
                <w:szCs w:val="22"/>
              </w:rPr>
            </w:pPr>
            <w:r w:rsidRPr="00D426CF">
              <w:rPr>
                <w:rFonts w:eastAsia="Calibri"/>
                <w:b/>
                <w:sz w:val="22"/>
                <w:szCs w:val="22"/>
              </w:rPr>
              <w:t>Sınavlar</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b/>
                <w:sz w:val="22"/>
                <w:szCs w:val="22"/>
              </w:rPr>
              <w:t>CB</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b/>
                <w:sz w:val="22"/>
                <w:szCs w:val="22"/>
              </w:rPr>
              <w:t>BB</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b/>
                <w:sz w:val="22"/>
                <w:szCs w:val="22"/>
              </w:rPr>
              <w:t>BA</w:t>
            </w:r>
          </w:p>
        </w:tc>
        <w:tc>
          <w:tcPr>
            <w:tcW w:w="1275" w:type="dxa"/>
          </w:tcPr>
          <w:p w:rsidR="007A111F" w:rsidRPr="00D426CF" w:rsidRDefault="00EA269C" w:rsidP="005D73D0">
            <w:pPr>
              <w:spacing w:line="240" w:lineRule="auto"/>
              <w:ind w:left="0" w:hanging="2"/>
              <w:jc w:val="center"/>
              <w:rPr>
                <w:rFonts w:eastAsia="Calibri"/>
                <w:sz w:val="22"/>
                <w:szCs w:val="22"/>
              </w:rPr>
            </w:pPr>
            <w:r w:rsidRPr="00D426CF">
              <w:rPr>
                <w:rFonts w:eastAsia="Calibri"/>
                <w:b/>
                <w:sz w:val="22"/>
                <w:szCs w:val="22"/>
              </w:rPr>
              <w:t>AA</w:t>
            </w:r>
          </w:p>
        </w:tc>
      </w:tr>
      <w:tr w:rsidR="007A111F" w:rsidTr="00BD67DF">
        <w:trPr>
          <w:jc w:val="center"/>
        </w:trPr>
        <w:tc>
          <w:tcPr>
            <w:tcW w:w="3828" w:type="dxa"/>
          </w:tcPr>
          <w:p w:rsidR="007A111F" w:rsidRPr="0032485B" w:rsidRDefault="00EA269C" w:rsidP="005D73D0">
            <w:pPr>
              <w:spacing w:line="240" w:lineRule="auto"/>
              <w:ind w:left="0" w:hanging="2"/>
              <w:rPr>
                <w:rFonts w:eastAsia="Calibri"/>
                <w:bCs/>
                <w:sz w:val="22"/>
                <w:szCs w:val="22"/>
              </w:rPr>
            </w:pPr>
            <w:r w:rsidRPr="0032485B">
              <w:rPr>
                <w:rFonts w:eastAsia="Calibri"/>
                <w:bCs/>
                <w:sz w:val="22"/>
                <w:szCs w:val="22"/>
              </w:rPr>
              <w:t>İngilizce I-</w:t>
            </w:r>
            <w:r w:rsidR="00D426CF" w:rsidRPr="0032485B">
              <w:rPr>
                <w:rFonts w:eastAsia="Calibri"/>
                <w:bCs/>
                <w:sz w:val="22"/>
                <w:szCs w:val="22"/>
              </w:rPr>
              <w:t xml:space="preserve"> İngilizce </w:t>
            </w:r>
            <w:r w:rsidRPr="0032485B">
              <w:rPr>
                <w:rFonts w:eastAsia="Calibri"/>
                <w:bCs/>
                <w:sz w:val="22"/>
                <w:szCs w:val="22"/>
              </w:rPr>
              <w:t>II Muafiyet Sınavı</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60-69</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70-79</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80-89</w:t>
            </w:r>
          </w:p>
        </w:tc>
        <w:tc>
          <w:tcPr>
            <w:tcW w:w="1275"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90-100</w:t>
            </w:r>
          </w:p>
        </w:tc>
      </w:tr>
      <w:tr w:rsidR="007A111F" w:rsidTr="00BD67DF">
        <w:trPr>
          <w:jc w:val="center"/>
        </w:trPr>
        <w:tc>
          <w:tcPr>
            <w:tcW w:w="3828" w:type="dxa"/>
          </w:tcPr>
          <w:p w:rsidR="007A111F" w:rsidRPr="0032485B" w:rsidRDefault="00EA269C" w:rsidP="005D73D0">
            <w:pPr>
              <w:spacing w:line="240" w:lineRule="auto"/>
              <w:ind w:left="0" w:hanging="2"/>
              <w:rPr>
                <w:rFonts w:eastAsia="Calibri"/>
                <w:bCs/>
                <w:sz w:val="22"/>
                <w:szCs w:val="22"/>
              </w:rPr>
            </w:pPr>
            <w:r w:rsidRPr="0032485B">
              <w:rPr>
                <w:rFonts w:eastAsia="Calibri"/>
                <w:bCs/>
                <w:sz w:val="22"/>
                <w:szCs w:val="22"/>
              </w:rPr>
              <w:t>İYS</w:t>
            </w:r>
            <w:r w:rsidR="00E041E9">
              <w:rPr>
                <w:rFonts w:eastAsia="Calibri"/>
                <w:bCs/>
                <w:sz w:val="22"/>
                <w:szCs w:val="22"/>
              </w:rPr>
              <w:t xml:space="preserve">, </w:t>
            </w:r>
            <w:r w:rsidRPr="0032485B">
              <w:rPr>
                <w:rFonts w:eastAsia="Calibri"/>
                <w:bCs/>
                <w:sz w:val="22"/>
                <w:szCs w:val="22"/>
              </w:rPr>
              <w:t>YDS</w:t>
            </w:r>
            <w:r w:rsidR="00E041E9">
              <w:rPr>
                <w:rFonts w:eastAsia="Calibri"/>
                <w:bCs/>
                <w:sz w:val="22"/>
                <w:szCs w:val="22"/>
              </w:rPr>
              <w:t xml:space="preserve">, </w:t>
            </w:r>
            <w:r w:rsidRPr="0032485B">
              <w:rPr>
                <w:rFonts w:eastAsia="Calibri"/>
                <w:bCs/>
                <w:sz w:val="22"/>
                <w:szCs w:val="22"/>
              </w:rPr>
              <w:t>e-YDS</w:t>
            </w:r>
            <w:r w:rsidR="00E041E9">
              <w:rPr>
                <w:rFonts w:eastAsia="Calibri"/>
                <w:bCs/>
                <w:sz w:val="22"/>
                <w:szCs w:val="22"/>
              </w:rPr>
              <w:t xml:space="preserve">, </w:t>
            </w:r>
            <w:r w:rsidRPr="0032485B">
              <w:rPr>
                <w:rFonts w:eastAsia="Calibri"/>
                <w:bCs/>
                <w:sz w:val="22"/>
                <w:szCs w:val="22"/>
              </w:rPr>
              <w:t>YÖKDİL</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40-49</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50-59</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60-69</w:t>
            </w:r>
          </w:p>
        </w:tc>
        <w:tc>
          <w:tcPr>
            <w:tcW w:w="1275"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70-100</w:t>
            </w:r>
          </w:p>
        </w:tc>
      </w:tr>
      <w:tr w:rsidR="007A111F" w:rsidTr="00BD67DF">
        <w:trPr>
          <w:jc w:val="center"/>
        </w:trPr>
        <w:tc>
          <w:tcPr>
            <w:tcW w:w="3828" w:type="dxa"/>
          </w:tcPr>
          <w:p w:rsidR="007A111F" w:rsidRPr="0032485B" w:rsidRDefault="00EA269C" w:rsidP="005D73D0">
            <w:pPr>
              <w:spacing w:line="240" w:lineRule="auto"/>
              <w:ind w:left="0" w:hanging="2"/>
              <w:rPr>
                <w:rFonts w:eastAsia="Calibri"/>
                <w:bCs/>
                <w:sz w:val="22"/>
                <w:szCs w:val="22"/>
              </w:rPr>
            </w:pPr>
            <w:r w:rsidRPr="0032485B">
              <w:rPr>
                <w:rFonts w:eastAsia="Calibri"/>
                <w:bCs/>
                <w:sz w:val="22"/>
                <w:szCs w:val="22"/>
              </w:rPr>
              <w:t>TOEFL IBT</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48-59</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60-71</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72-83</w:t>
            </w:r>
          </w:p>
        </w:tc>
        <w:tc>
          <w:tcPr>
            <w:tcW w:w="1275"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84-120</w:t>
            </w:r>
          </w:p>
        </w:tc>
      </w:tr>
      <w:tr w:rsidR="007A111F" w:rsidTr="00BD67DF">
        <w:trPr>
          <w:jc w:val="center"/>
        </w:trPr>
        <w:tc>
          <w:tcPr>
            <w:tcW w:w="3828" w:type="dxa"/>
          </w:tcPr>
          <w:p w:rsidR="007A111F" w:rsidRPr="0032485B" w:rsidRDefault="00EA269C" w:rsidP="005D73D0">
            <w:pPr>
              <w:spacing w:line="240" w:lineRule="auto"/>
              <w:ind w:left="0" w:hanging="2"/>
              <w:rPr>
                <w:rFonts w:eastAsia="Calibri"/>
                <w:bCs/>
                <w:sz w:val="22"/>
                <w:szCs w:val="22"/>
              </w:rPr>
            </w:pPr>
            <w:r w:rsidRPr="0032485B">
              <w:rPr>
                <w:rFonts w:eastAsia="Calibri"/>
                <w:bCs/>
                <w:sz w:val="22"/>
                <w:szCs w:val="22"/>
              </w:rPr>
              <w:t>PTE Akademik</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30-44</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45-54</w:t>
            </w:r>
          </w:p>
        </w:tc>
        <w:tc>
          <w:tcPr>
            <w:tcW w:w="1134"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55-70</w:t>
            </w:r>
          </w:p>
        </w:tc>
        <w:tc>
          <w:tcPr>
            <w:tcW w:w="1275" w:type="dxa"/>
          </w:tcPr>
          <w:p w:rsidR="007A111F" w:rsidRPr="00D426CF" w:rsidRDefault="00EA269C" w:rsidP="005D73D0">
            <w:pPr>
              <w:spacing w:line="240" w:lineRule="auto"/>
              <w:ind w:left="0" w:hanging="2"/>
              <w:jc w:val="center"/>
              <w:rPr>
                <w:rFonts w:eastAsia="Calibri"/>
                <w:sz w:val="22"/>
                <w:szCs w:val="22"/>
              </w:rPr>
            </w:pPr>
            <w:r w:rsidRPr="00D426CF">
              <w:rPr>
                <w:rFonts w:eastAsia="Calibri"/>
                <w:sz w:val="22"/>
                <w:szCs w:val="22"/>
              </w:rPr>
              <w:t>71-90</w:t>
            </w:r>
          </w:p>
        </w:tc>
      </w:tr>
    </w:tbl>
    <w:p w:rsidR="00D426CF" w:rsidRDefault="00D426CF" w:rsidP="005D73D0">
      <w:pPr>
        <w:spacing w:line="240" w:lineRule="auto"/>
        <w:ind w:left="0" w:hanging="2"/>
        <w:jc w:val="both"/>
      </w:pPr>
    </w:p>
    <w:p w:rsidR="00975A97" w:rsidRDefault="00D426CF" w:rsidP="00D8307F">
      <w:pPr>
        <w:spacing w:line="240" w:lineRule="auto"/>
        <w:ind w:left="0" w:hanging="2"/>
        <w:jc w:val="both"/>
      </w:pPr>
      <w:r>
        <w:t xml:space="preserve">(3) </w:t>
      </w:r>
      <w:r w:rsidR="00994CFB">
        <w:t xml:space="preserve">İngilizce I ve </w:t>
      </w:r>
      <w:r>
        <w:t xml:space="preserve">İngilizce II Muafiyet Sınavı, Güz yarıyılı başında, Modern Diller Bölüm Başkanlığı tarafından yapılır. </w:t>
      </w:r>
    </w:p>
    <w:p w:rsidR="00D8307F" w:rsidRPr="00D8307F" w:rsidRDefault="009D045F"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D8307F">
        <w:t xml:space="preserve">(4) İngilizce I ve İngilizce II derslerinden muafiyet belgelerin asıllarının akademik takvimde belirtilen ders kayıt tarihlerinden önce Modern Diller Bölüm Başkanlığına dilekçe ile elden teslim edilmesi gerekir. Söz konusu belgeler Yönetim Kurulu tarafından değerlendirilir, kabul edilen belgeler geçerli olduğu eğitim-öğretim dönemine işlenir. Belgelerin ders kayıt tarihleri sonrasında teslim edilmesinin sonuçlarından öğrenci sorumludur. </w:t>
      </w:r>
    </w:p>
    <w:p w:rsidR="00D8307F" w:rsidRPr="00023806" w:rsidRDefault="00AA4D08"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D8307F">
        <w:t>5) İleri İngilizce I, İleri İngilizce II, İngilizce I ve İngilizce II derslerinden muaf olmak veya bu derslerden not yükseltmek isteyen lisans öğrencilerinin buna ilişkin belgelerin asıllarını akademik takvimde belirtilen ders kayıt tarihlerinden önce Modern Diller Bölüm Başkanlığına bir dilekçe ile elden teslim etmesi gerekir. Söz konusu belgeler Yönetim Kurulu tarafından değerlendirilir, kabul edilen belgeler geçerli olduğu eğitim-öğretim dönemine işlenir. Belgelerin ders kayıt tarihleri sonrasında teslim edilmesinin sonuçlarından öğrenci sorumludur.</w:t>
      </w:r>
      <w:r w:rsidR="00D8307F" w:rsidRPr="00D8307F">
        <w:t xml:space="preserve"> </w:t>
      </w:r>
    </w:p>
    <w:p w:rsidR="00437882" w:rsidRPr="00437882" w:rsidRDefault="00975A97" w:rsidP="005D73D0">
      <w:pPr>
        <w:spacing w:line="240" w:lineRule="auto"/>
        <w:ind w:left="0" w:hanging="2"/>
        <w:jc w:val="both"/>
      </w:pPr>
      <w:r>
        <w:t xml:space="preserve">(6) İleri İngilizce I, İleri İngilizce II, İngilizce I, İngilizce II derslerinden muafiyet sağlayan </w:t>
      </w:r>
      <w:r w:rsidRPr="00796538">
        <w:t xml:space="preserve">ulusal </w:t>
      </w:r>
      <w:r w:rsidR="00967733" w:rsidRPr="00796538">
        <w:t xml:space="preserve">sınavların sonuç </w:t>
      </w:r>
      <w:r w:rsidRPr="00796538">
        <w:t>belgelerin</w:t>
      </w:r>
      <w:r w:rsidR="00967733" w:rsidRPr="00796538">
        <w:t>in</w:t>
      </w:r>
      <w:r w:rsidRPr="00796538">
        <w:t xml:space="preserve"> geçerlilik süresi 5</w:t>
      </w:r>
      <w:r w:rsidR="00994CFB" w:rsidRPr="00796538">
        <w:t xml:space="preserve"> (beş)</w:t>
      </w:r>
      <w:r w:rsidRPr="00796538">
        <w:t xml:space="preserve"> yıldır.</w:t>
      </w:r>
      <w:r>
        <w:t xml:space="preserve"> Uluslararası </w:t>
      </w:r>
      <w:r w:rsidR="009D6453">
        <w:t xml:space="preserve">sınavların sonuç </w:t>
      </w:r>
      <w:r>
        <w:t>belgeler</w:t>
      </w:r>
      <w:r w:rsidR="009D6453">
        <w:t>i</w:t>
      </w:r>
      <w:r>
        <w:t xml:space="preserve"> ise geçerlilik süreleri içinde hüküm ifade ederler.</w:t>
      </w:r>
    </w:p>
    <w:p w:rsidR="00437882" w:rsidRDefault="00437882" w:rsidP="005D73D0">
      <w:pPr>
        <w:spacing w:line="240" w:lineRule="auto"/>
        <w:ind w:left="0" w:hanging="2"/>
        <w:jc w:val="both"/>
        <w:rPr>
          <w:b/>
        </w:rPr>
      </w:pPr>
    </w:p>
    <w:p w:rsidR="007A111F" w:rsidRDefault="00994CFB" w:rsidP="005D73D0">
      <w:pPr>
        <w:spacing w:line="240" w:lineRule="auto"/>
        <w:ind w:left="0" w:hanging="2"/>
        <w:jc w:val="both"/>
      </w:pPr>
      <w:r>
        <w:rPr>
          <w:b/>
        </w:rPr>
        <w:t>Başarının D</w:t>
      </w:r>
      <w:r w:rsidR="00EA269C">
        <w:rPr>
          <w:b/>
        </w:rPr>
        <w:t>eğerlendirilmesi</w:t>
      </w:r>
    </w:p>
    <w:p w:rsidR="009B4D6D" w:rsidRDefault="0064646D" w:rsidP="005D73D0">
      <w:pPr>
        <w:spacing w:line="240" w:lineRule="auto"/>
        <w:ind w:left="0" w:hanging="2"/>
        <w:jc w:val="both"/>
      </w:pPr>
      <w:r>
        <w:rPr>
          <w:b/>
        </w:rPr>
        <w:t xml:space="preserve">MADDE </w:t>
      </w:r>
      <w:r w:rsidR="00564AC6">
        <w:rPr>
          <w:b/>
        </w:rPr>
        <w:t>19</w:t>
      </w:r>
      <w:r w:rsidR="00EA269C">
        <w:rPr>
          <w:b/>
        </w:rPr>
        <w:t xml:space="preserve"> – </w:t>
      </w:r>
      <w:r w:rsidR="00994CFB">
        <w:t>(1) Modern Diller Bölüm Başkanlığı</w:t>
      </w:r>
      <w:r w:rsidR="00EA269C">
        <w:t xml:space="preserve"> tarafından verilen zorunlu ve seçmeli yabancı dil dersleri için uygulanan başarı değerlendirmesi</w:t>
      </w:r>
      <w:r>
        <w:t>nde</w:t>
      </w:r>
      <w:r w:rsidR="00EA269C">
        <w:t xml:space="preserve"> </w:t>
      </w:r>
      <w:r w:rsidR="000F5585">
        <w:t>“Yıldız Teknik Üniversitesi</w:t>
      </w:r>
      <w:r w:rsidR="00EA269C">
        <w:t xml:space="preserve"> Ön Lisans ve Lis</w:t>
      </w:r>
      <w:r>
        <w:t>ans Eğitim-Öğretim Yönetmeliği</w:t>
      </w:r>
      <w:r w:rsidR="000F5585">
        <w:t>”</w:t>
      </w:r>
      <w:r>
        <w:t xml:space="preserve"> hükümleri uygulanır</w:t>
      </w:r>
      <w:r w:rsidR="00EA269C">
        <w:t xml:space="preserve">. </w:t>
      </w:r>
    </w:p>
    <w:p w:rsidR="00437882" w:rsidRPr="00437882" w:rsidRDefault="00437882" w:rsidP="005D73D0">
      <w:pPr>
        <w:spacing w:line="240" w:lineRule="auto"/>
        <w:ind w:left="0" w:hanging="2"/>
        <w:jc w:val="both"/>
      </w:pPr>
    </w:p>
    <w:p w:rsidR="007A111F" w:rsidRDefault="00994CFB" w:rsidP="005D73D0">
      <w:pPr>
        <w:spacing w:line="240" w:lineRule="auto"/>
        <w:ind w:left="0" w:hanging="2"/>
        <w:jc w:val="both"/>
      </w:pPr>
      <w:r>
        <w:rPr>
          <w:b/>
        </w:rPr>
        <w:t>Sınav Sonuçlarına İ</w:t>
      </w:r>
      <w:r w:rsidR="00EA269C">
        <w:rPr>
          <w:b/>
        </w:rPr>
        <w:t>tiraz</w:t>
      </w:r>
    </w:p>
    <w:p w:rsidR="00787B00" w:rsidRDefault="0064646D" w:rsidP="005D73D0">
      <w:pPr>
        <w:spacing w:line="240" w:lineRule="auto"/>
        <w:ind w:left="0" w:hanging="2"/>
        <w:jc w:val="both"/>
      </w:pPr>
      <w:r>
        <w:rPr>
          <w:b/>
        </w:rPr>
        <w:t>MADDE 2</w:t>
      </w:r>
      <w:r w:rsidR="00564AC6">
        <w:rPr>
          <w:b/>
        </w:rPr>
        <w:t>0</w:t>
      </w:r>
      <w:r w:rsidR="00EA269C">
        <w:rPr>
          <w:b/>
        </w:rPr>
        <w:t>–</w:t>
      </w:r>
      <w:r w:rsidR="00EA269C">
        <w:t xml:space="preserve"> </w:t>
      </w:r>
      <w:r w:rsidR="00787B00">
        <w:t xml:space="preserve">(1) </w:t>
      </w:r>
      <w:r w:rsidR="001074D3">
        <w:t>Modern Diller Bölüm Başkanlığı tarafından yapılan sınavlara,</w:t>
      </w:r>
      <w:r w:rsidR="006E42C5" w:rsidRPr="006E42C5">
        <w:t xml:space="preserve"> </w:t>
      </w:r>
      <w:r w:rsidR="008E6A3C">
        <w:t>S</w:t>
      </w:r>
      <w:r w:rsidR="008E6A3C" w:rsidRPr="006E42C5">
        <w:t xml:space="preserve">ınav sonuçlarının </w:t>
      </w:r>
      <w:r w:rsidR="008E6A3C" w:rsidRPr="00796538">
        <w:t>ilan edildiği günden itibaren</w:t>
      </w:r>
      <w:r w:rsidR="008E6A3C" w:rsidRPr="006E42C5">
        <w:t xml:space="preserve"> 3 (üç) iş günü</w:t>
      </w:r>
      <w:r w:rsidR="008E6A3C" w:rsidRPr="006E42C5">
        <w:rPr>
          <w:b/>
        </w:rPr>
        <w:t xml:space="preserve"> </w:t>
      </w:r>
      <w:r w:rsidR="008E6A3C">
        <w:t>içinde dilekçe ile itiraz</w:t>
      </w:r>
      <w:r w:rsidR="008E6A3C" w:rsidRPr="006E42C5">
        <w:t xml:space="preserve"> </w:t>
      </w:r>
      <w:r w:rsidR="008E6A3C">
        <w:t>edilebilir</w:t>
      </w:r>
      <w:r w:rsidR="008E6A3C" w:rsidRPr="006E42C5">
        <w:t>.</w:t>
      </w:r>
      <w:r w:rsidR="003D353E">
        <w:t xml:space="preserve"> İtiraz dilekçeleri Modern Diller Bölüm Başkanlığına elden </w:t>
      </w:r>
      <w:r w:rsidR="00DD00F6">
        <w:t>teslim edilir</w:t>
      </w:r>
      <w:r w:rsidR="003D353E">
        <w:t>.</w:t>
      </w:r>
      <w:r w:rsidR="00EA269C">
        <w:t xml:space="preserve"> </w:t>
      </w:r>
    </w:p>
    <w:p w:rsidR="00787B00" w:rsidRPr="00495E28" w:rsidRDefault="00787B00" w:rsidP="005D73D0">
      <w:pPr>
        <w:spacing w:line="240" w:lineRule="auto"/>
        <w:ind w:left="0" w:hanging="2"/>
        <w:jc w:val="both"/>
      </w:pPr>
      <w:r>
        <w:t>(2</w:t>
      </w:r>
      <w:r w:rsidRPr="00495E28">
        <w:t>)</w:t>
      </w:r>
      <w:r w:rsidR="003D353E">
        <w:t xml:space="preserve"> Yapılan itirazlar</w:t>
      </w:r>
      <w:r w:rsidRPr="00495E28">
        <w:t xml:space="preserve"> </w:t>
      </w:r>
      <w:r>
        <w:t xml:space="preserve">Modern Diller Bölüm Başkanlığınca oluşturulan ve ilgili öğretim elemanının da yer aldığı </w:t>
      </w:r>
      <w:r w:rsidRPr="00495E28">
        <w:t xml:space="preserve">en az </w:t>
      </w:r>
      <w:r>
        <w:t xml:space="preserve">3 (üç) </w:t>
      </w:r>
      <w:r w:rsidRPr="00495E28">
        <w:t>kişilik</w:t>
      </w:r>
      <w:r>
        <w:t xml:space="preserve"> komisyon tarafından incelenir ve itiraz süresinin bitiminden itibaren en</w:t>
      </w:r>
      <w:r w:rsidRPr="00495E28">
        <w:t xml:space="preserve"> </w:t>
      </w:r>
      <w:r>
        <w:t>geç</w:t>
      </w:r>
      <w:r w:rsidRPr="00495E28">
        <w:t xml:space="preserve"> 10</w:t>
      </w:r>
      <w:r>
        <w:t xml:space="preserve"> (on)</w:t>
      </w:r>
      <w:r w:rsidRPr="00495E28">
        <w:t xml:space="preserve"> iş günü içinde </w:t>
      </w:r>
      <w:r>
        <w:t xml:space="preserve">karara bağlanarak </w:t>
      </w:r>
      <w:r w:rsidR="00696A26">
        <w:t>ilan edilir</w:t>
      </w:r>
      <w:r>
        <w:t>.</w:t>
      </w:r>
    </w:p>
    <w:p w:rsidR="0002678C" w:rsidRDefault="0002678C" w:rsidP="005D73D0">
      <w:pPr>
        <w:spacing w:line="240" w:lineRule="auto"/>
        <w:ind w:left="0" w:hanging="2"/>
        <w:jc w:val="center"/>
        <w:rPr>
          <w:b/>
        </w:rPr>
      </w:pPr>
    </w:p>
    <w:p w:rsidR="00D8307F" w:rsidRDefault="00D8307F" w:rsidP="005D73D0">
      <w:pPr>
        <w:spacing w:line="240" w:lineRule="auto"/>
        <w:ind w:left="0" w:hanging="2"/>
        <w:jc w:val="center"/>
        <w:rPr>
          <w:b/>
        </w:rPr>
      </w:pPr>
    </w:p>
    <w:p w:rsidR="007A111F" w:rsidRDefault="00EA269C" w:rsidP="005D73D0">
      <w:pPr>
        <w:spacing w:line="240" w:lineRule="auto"/>
        <w:ind w:left="0" w:hanging="2"/>
        <w:jc w:val="center"/>
      </w:pPr>
      <w:r>
        <w:rPr>
          <w:b/>
        </w:rPr>
        <w:t>DÖRDÜNCÜ BÖLÜM</w:t>
      </w:r>
    </w:p>
    <w:p w:rsidR="007A111F" w:rsidRDefault="003D67A5" w:rsidP="005D73D0">
      <w:pPr>
        <w:spacing w:line="240" w:lineRule="auto"/>
        <w:ind w:left="0" w:hanging="2"/>
        <w:jc w:val="center"/>
        <w:rPr>
          <w:b/>
        </w:rPr>
      </w:pPr>
      <w:r>
        <w:rPr>
          <w:b/>
        </w:rPr>
        <w:t>Diğer Hükümler</w:t>
      </w:r>
    </w:p>
    <w:p w:rsidR="003D67A5" w:rsidRDefault="003D67A5" w:rsidP="005D73D0">
      <w:pPr>
        <w:spacing w:line="240" w:lineRule="auto"/>
        <w:ind w:left="0" w:hanging="2"/>
        <w:jc w:val="center"/>
      </w:pPr>
    </w:p>
    <w:p w:rsidR="007A111F" w:rsidRDefault="00882186" w:rsidP="005D73D0">
      <w:pPr>
        <w:spacing w:line="240" w:lineRule="auto"/>
        <w:ind w:left="0" w:hanging="2"/>
        <w:jc w:val="both"/>
      </w:pPr>
      <w:r w:rsidRPr="00AA5B0D">
        <w:rPr>
          <w:b/>
        </w:rPr>
        <w:t>MADDE 2</w:t>
      </w:r>
      <w:r w:rsidR="00564AC6">
        <w:rPr>
          <w:b/>
        </w:rPr>
        <w:t>1</w:t>
      </w:r>
      <w:r w:rsidR="00EA269C" w:rsidRPr="00AA5B0D">
        <w:rPr>
          <w:b/>
        </w:rPr>
        <w:t xml:space="preserve"> –</w:t>
      </w:r>
      <w:r w:rsidR="00EA269C" w:rsidRPr="00AA5B0D">
        <w:t xml:space="preserve"> (1) Bu yö</w:t>
      </w:r>
      <w:r w:rsidRPr="00AA5B0D">
        <w:t xml:space="preserve">nergede hüküm bulunmayan hususlarda, </w:t>
      </w:r>
      <w:r w:rsidR="003D67A5" w:rsidRPr="00AA5B0D">
        <w:t>“Yıldız Teknik Üniversitesi</w:t>
      </w:r>
      <w:r w:rsidR="00EA269C" w:rsidRPr="00AA5B0D">
        <w:t xml:space="preserve"> </w:t>
      </w:r>
      <w:r w:rsidR="00305529">
        <w:t>Ön</w:t>
      </w:r>
      <w:r w:rsidR="00D8307F">
        <w:t xml:space="preserve"> </w:t>
      </w:r>
      <w:r w:rsidR="00305529" w:rsidRPr="00AA5B0D">
        <w:t>lisans</w:t>
      </w:r>
      <w:r w:rsidR="00EA269C" w:rsidRPr="00AA5B0D">
        <w:t xml:space="preserve"> ve Lis</w:t>
      </w:r>
      <w:r w:rsidRPr="00AA5B0D">
        <w:t>ans Eğitim-Öğretim Yönetmeliği</w:t>
      </w:r>
      <w:r w:rsidR="003D67A5" w:rsidRPr="00AA5B0D">
        <w:t>”</w:t>
      </w:r>
      <w:r w:rsidRPr="00AA5B0D">
        <w:t xml:space="preserve"> ve </w:t>
      </w:r>
      <w:r w:rsidR="003D67A5" w:rsidRPr="00AA5B0D">
        <w:t>“Yıldız Teknik Üniversitesi</w:t>
      </w:r>
      <w:r w:rsidR="00EA269C" w:rsidRPr="00AA5B0D">
        <w:t xml:space="preserve"> Ders Eşde</w:t>
      </w:r>
      <w:r w:rsidRPr="00AA5B0D">
        <w:t>ğerlilik ve İntibak Esasları</w:t>
      </w:r>
      <w:r w:rsidR="003D67A5" w:rsidRPr="00AA5B0D">
        <w:t>”</w:t>
      </w:r>
      <w:r w:rsidRPr="00AA5B0D">
        <w:t xml:space="preserve"> uygulanır</w:t>
      </w:r>
      <w:r w:rsidR="00EA269C" w:rsidRPr="00AA5B0D">
        <w:t>.</w:t>
      </w:r>
    </w:p>
    <w:p w:rsidR="00943625" w:rsidRDefault="00943625" w:rsidP="005D73D0">
      <w:pPr>
        <w:spacing w:line="240" w:lineRule="auto"/>
        <w:ind w:left="0" w:hanging="2"/>
        <w:jc w:val="center"/>
        <w:rPr>
          <w:b/>
        </w:rPr>
      </w:pPr>
    </w:p>
    <w:p w:rsidR="00D8307F" w:rsidRDefault="00D8307F" w:rsidP="005D73D0">
      <w:pPr>
        <w:spacing w:line="240" w:lineRule="auto"/>
        <w:ind w:left="0" w:hanging="2"/>
        <w:jc w:val="center"/>
        <w:rPr>
          <w:b/>
        </w:rPr>
      </w:pPr>
    </w:p>
    <w:p w:rsidR="00AA5B0D" w:rsidRDefault="00AA5B0D" w:rsidP="005D73D0">
      <w:pPr>
        <w:spacing w:line="240" w:lineRule="auto"/>
        <w:ind w:left="0" w:hanging="2"/>
        <w:jc w:val="center"/>
      </w:pPr>
      <w:r>
        <w:rPr>
          <w:b/>
        </w:rPr>
        <w:t>BEŞİNCİ BÖLÜM</w:t>
      </w:r>
    </w:p>
    <w:p w:rsidR="00AA5B0D" w:rsidRDefault="00AA5B0D" w:rsidP="005D73D0">
      <w:pPr>
        <w:spacing w:line="240" w:lineRule="auto"/>
        <w:ind w:left="0" w:hanging="2"/>
        <w:jc w:val="center"/>
        <w:rPr>
          <w:b/>
        </w:rPr>
      </w:pPr>
      <w:r>
        <w:rPr>
          <w:b/>
        </w:rPr>
        <w:t>Yürürlük</w:t>
      </w:r>
      <w:r w:rsidR="000A0312">
        <w:rPr>
          <w:b/>
        </w:rPr>
        <w:t xml:space="preserve"> ve Yürütme</w:t>
      </w:r>
    </w:p>
    <w:p w:rsidR="007A111F" w:rsidRDefault="00EA269C" w:rsidP="005D73D0">
      <w:pPr>
        <w:spacing w:line="240" w:lineRule="auto"/>
        <w:ind w:left="0" w:hanging="2"/>
        <w:jc w:val="both"/>
      </w:pPr>
      <w:r>
        <w:rPr>
          <w:b/>
        </w:rPr>
        <w:lastRenderedPageBreak/>
        <w:t>Yürürlük</w:t>
      </w:r>
    </w:p>
    <w:p w:rsidR="00D8307F" w:rsidRPr="00023806" w:rsidRDefault="009B4D6D" w:rsidP="00D8307F">
      <w:pPr>
        <w:pStyle w:val="style6"/>
        <w:pBdr>
          <w:top w:val="none" w:sz="0" w:space="0" w:color="auto"/>
          <w:left w:val="none" w:sz="0" w:space="0" w:color="auto"/>
          <w:bottom w:val="none" w:sz="0" w:space="0" w:color="auto"/>
          <w:right w:val="none" w:sz="0" w:space="0" w:color="auto"/>
          <w:between w:val="none" w:sz="0" w:space="0" w:color="auto"/>
        </w:pBdr>
        <w:suppressAutoHyphens w:val="0"/>
        <w:spacing w:before="0" w:beforeAutospacing="0" w:after="0" w:afterAutospacing="0" w:line="240" w:lineRule="auto"/>
        <w:ind w:leftChars="0" w:left="0" w:firstLineChars="0" w:firstLine="0"/>
        <w:jc w:val="both"/>
        <w:textDirection w:val="lrTb"/>
        <w:textAlignment w:val="auto"/>
        <w:outlineLvl w:val="9"/>
        <w:rPr>
          <w:strike/>
        </w:rPr>
      </w:pPr>
      <w:r w:rsidRPr="00D8307F">
        <w:rPr>
          <w:b/>
        </w:rPr>
        <w:t>MADDE 22–</w:t>
      </w:r>
      <w:r w:rsidRPr="00D8307F">
        <w:t xml:space="preserve"> (1) Bu yönerge 2020-2021 Eğitim-Öğretim yılı güz yarıyılından itibaren uygulanmak üzere Senato tarafından kabul edildiği tarihte yürürlüğe girer.</w:t>
      </w:r>
      <w:r w:rsidR="00D8307F" w:rsidRPr="00D8307F">
        <w:t xml:space="preserve"> </w:t>
      </w:r>
    </w:p>
    <w:p w:rsidR="008314EA" w:rsidRPr="00C22423" w:rsidRDefault="008314EA" w:rsidP="008314EA">
      <w:pPr>
        <w:spacing w:line="240" w:lineRule="auto"/>
        <w:ind w:left="0" w:hanging="2"/>
        <w:jc w:val="both"/>
      </w:pPr>
      <w:r>
        <w:rPr>
          <w:b/>
        </w:rPr>
        <w:t>Yürürlükten Kaldırılan Yönerge</w:t>
      </w:r>
    </w:p>
    <w:p w:rsidR="008314EA" w:rsidRDefault="008314EA" w:rsidP="008314EA">
      <w:pPr>
        <w:spacing w:line="240" w:lineRule="auto"/>
        <w:ind w:left="0" w:hanging="2"/>
        <w:jc w:val="both"/>
      </w:pPr>
      <w:r w:rsidRPr="00D8307F">
        <w:rPr>
          <w:b/>
        </w:rPr>
        <w:t>MADDE 23-</w:t>
      </w:r>
      <w:r w:rsidRPr="00D8307F">
        <w:t xml:space="preserve"> (1) 06.12.2018 tarih ve 2018-07 sayılı Senato toplantısının 04 sayılı kararı ile kabul edilen Yıldız Teknik Üniversitesi Yabancı Diller Yüksekokulu Öğretim ve Sınav Yönergesi yürürlükten kaldırılmıştır.</w:t>
      </w:r>
    </w:p>
    <w:p w:rsidR="008314EA" w:rsidRDefault="008314EA" w:rsidP="008314EA">
      <w:pPr>
        <w:spacing w:line="240" w:lineRule="auto"/>
        <w:ind w:left="0" w:hanging="2"/>
        <w:jc w:val="both"/>
      </w:pPr>
    </w:p>
    <w:p w:rsidR="008314EA" w:rsidRDefault="008314EA" w:rsidP="008314EA">
      <w:pPr>
        <w:spacing w:line="240" w:lineRule="auto"/>
        <w:ind w:left="0" w:hanging="2"/>
        <w:jc w:val="both"/>
      </w:pPr>
      <w:r>
        <w:rPr>
          <w:b/>
        </w:rPr>
        <w:t>Yürütme</w:t>
      </w:r>
    </w:p>
    <w:p w:rsidR="008314EA" w:rsidRDefault="008314EA" w:rsidP="008314EA">
      <w:pPr>
        <w:spacing w:line="240" w:lineRule="auto"/>
        <w:ind w:left="0" w:hanging="2"/>
        <w:jc w:val="both"/>
      </w:pPr>
      <w:r>
        <w:rPr>
          <w:b/>
        </w:rPr>
        <w:t>MADDE 24–</w:t>
      </w:r>
      <w:r>
        <w:t xml:space="preserve"> (1) Bu yönerge Yıldız Teknik Üniversitesi Rektörü tarafından yürütülür.</w:t>
      </w:r>
    </w:p>
    <w:p w:rsidR="008314EA" w:rsidRDefault="008314EA" w:rsidP="008314EA">
      <w:pPr>
        <w:spacing w:line="240" w:lineRule="auto"/>
        <w:ind w:left="0" w:hanging="2"/>
        <w:jc w:val="both"/>
        <w:rPr>
          <w:b/>
        </w:rPr>
      </w:pPr>
    </w:p>
    <w:p w:rsidR="008314EA" w:rsidRDefault="008314EA" w:rsidP="008314EA">
      <w:pPr>
        <w:spacing w:line="240" w:lineRule="auto"/>
        <w:ind w:left="0" w:hanging="2"/>
        <w:jc w:val="both"/>
      </w:pPr>
    </w:p>
    <w:p w:rsidR="008314EA" w:rsidRDefault="008314EA" w:rsidP="008314EA">
      <w:pPr>
        <w:spacing w:line="240" w:lineRule="auto"/>
        <w:ind w:left="0" w:hanging="2"/>
        <w:jc w:val="both"/>
      </w:pPr>
    </w:p>
    <w:p w:rsidR="00991E45" w:rsidRPr="008314EA" w:rsidRDefault="00991E45" w:rsidP="005D73D0">
      <w:pPr>
        <w:spacing w:line="240" w:lineRule="auto"/>
        <w:ind w:left="0" w:hanging="2"/>
        <w:jc w:val="both"/>
        <w:rPr>
          <w:b/>
          <w:strike/>
        </w:rPr>
      </w:pPr>
    </w:p>
    <w:p w:rsidR="00991E45" w:rsidRDefault="00991E45" w:rsidP="005D73D0">
      <w:pPr>
        <w:spacing w:line="240" w:lineRule="auto"/>
        <w:ind w:left="0" w:hanging="2"/>
        <w:jc w:val="both"/>
      </w:pPr>
    </w:p>
    <w:p w:rsidR="00CF7D64" w:rsidRDefault="00CF7D64" w:rsidP="005D73D0">
      <w:pPr>
        <w:spacing w:line="240" w:lineRule="auto"/>
        <w:ind w:left="0" w:hanging="2"/>
        <w:jc w:val="both"/>
        <w:rPr>
          <w:color w:val="FF0000"/>
        </w:rPr>
      </w:pPr>
    </w:p>
    <w:p w:rsidR="00CF7D64" w:rsidRDefault="00CF7D64" w:rsidP="005D73D0">
      <w:pPr>
        <w:spacing w:line="240" w:lineRule="auto"/>
        <w:ind w:left="0" w:hanging="2"/>
        <w:jc w:val="both"/>
      </w:pPr>
    </w:p>
    <w:sectPr w:rsidR="00CF7D64" w:rsidSect="00C95D8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FE8" w:rsidRDefault="002C1FE8" w:rsidP="005F3943">
      <w:pPr>
        <w:spacing w:line="240" w:lineRule="auto"/>
        <w:ind w:left="0" w:hanging="2"/>
      </w:pPr>
      <w:r>
        <w:separator/>
      </w:r>
    </w:p>
  </w:endnote>
  <w:endnote w:type="continuationSeparator" w:id="0">
    <w:p w:rsidR="002C1FE8" w:rsidRDefault="002C1FE8" w:rsidP="005F39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9F" w:rsidRDefault="00C95D86" w:rsidP="005F3943">
    <w:pPr>
      <w:tabs>
        <w:tab w:val="center" w:pos="4536"/>
        <w:tab w:val="right" w:pos="9072"/>
      </w:tabs>
      <w:spacing w:line="240" w:lineRule="auto"/>
      <w:ind w:left="0" w:hanging="2"/>
      <w:jc w:val="center"/>
    </w:pPr>
    <w:r>
      <w:fldChar w:fldCharType="begin"/>
    </w:r>
    <w:r w:rsidR="0010659F">
      <w:instrText>PAGE</w:instrText>
    </w:r>
    <w:r>
      <w:fldChar w:fldCharType="end"/>
    </w:r>
  </w:p>
  <w:p w:rsidR="0010659F" w:rsidRDefault="0010659F" w:rsidP="005F3943">
    <w:pPr>
      <w:tabs>
        <w:tab w:val="center" w:pos="4536"/>
        <w:tab w:val="right" w:pos="9072"/>
      </w:tabs>
      <w:spacing w:line="240" w:lineRule="auto"/>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5DA" w:rsidRDefault="000635DA">
    <w:pPr>
      <w:pStyle w:val="Altbilgi"/>
      <w:ind w:left="0" w:hanging="2"/>
    </w:pPr>
    <w:r>
      <w:rPr>
        <w:rFonts w:ascii="Calibri" w:eastAsia="Calibri" w:hAnsi="Calibri" w:cs="Calibri"/>
        <w:sz w:val="20"/>
        <w:szCs w:val="20"/>
      </w:rPr>
      <w:t xml:space="preserve">Doküman No: YÖ-010; Revizyon Tarihi: </w:t>
    </w:r>
    <w:r w:rsidR="0065365D">
      <w:rPr>
        <w:rFonts w:ascii="Calibri" w:eastAsia="Calibri" w:hAnsi="Calibri" w:cs="Calibri"/>
        <w:sz w:val="20"/>
        <w:szCs w:val="20"/>
      </w:rPr>
      <w:t>21.04.2020, Revizyon No:03</w:t>
    </w:r>
  </w:p>
  <w:p w:rsidR="0010659F" w:rsidRDefault="0010659F" w:rsidP="005F3943">
    <w:pPr>
      <w:tabs>
        <w:tab w:val="center" w:pos="4536"/>
        <w:tab w:val="right" w:pos="9072"/>
      </w:tabs>
      <w:spacing w:line="240" w:lineRule="auto"/>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9F" w:rsidRDefault="0010659F" w:rsidP="005F3943">
    <w:pPr>
      <w:tabs>
        <w:tab w:val="center" w:pos="4536"/>
        <w:tab w:val="right" w:pos="9072"/>
      </w:tabs>
      <w:spacing w:line="240" w:lineRule="auto"/>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FE8" w:rsidRDefault="002C1FE8" w:rsidP="005F3943">
      <w:pPr>
        <w:spacing w:line="240" w:lineRule="auto"/>
        <w:ind w:left="0" w:hanging="2"/>
      </w:pPr>
      <w:r>
        <w:separator/>
      </w:r>
    </w:p>
  </w:footnote>
  <w:footnote w:type="continuationSeparator" w:id="0">
    <w:p w:rsidR="002C1FE8" w:rsidRDefault="002C1FE8" w:rsidP="005F394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9F" w:rsidRDefault="0010659F" w:rsidP="005F3943">
    <w:pPr>
      <w:tabs>
        <w:tab w:val="center" w:pos="4536"/>
        <w:tab w:val="right" w:pos="9072"/>
      </w:tabs>
      <w:spacing w:line="240" w:lineRule="aut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9F" w:rsidRDefault="0010659F" w:rsidP="005F3943">
    <w:pPr>
      <w:tabs>
        <w:tab w:val="center" w:pos="4536"/>
        <w:tab w:val="right" w:pos="9072"/>
      </w:tabs>
      <w:spacing w:line="240" w:lineRule="aut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9F" w:rsidRDefault="0010659F" w:rsidP="005F3943">
    <w:pPr>
      <w:tabs>
        <w:tab w:val="center" w:pos="4536"/>
        <w:tab w:val="right" w:pos="9072"/>
      </w:tabs>
      <w:spacing w:line="240"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7DD"/>
    <w:multiLevelType w:val="hybridMultilevel"/>
    <w:tmpl w:val="452CF930"/>
    <w:lvl w:ilvl="0" w:tplc="96B2A444">
      <w:start w:val="1"/>
      <w:numFmt w:val="low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47078BA"/>
    <w:multiLevelType w:val="hybridMultilevel"/>
    <w:tmpl w:val="BDF4D6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726352"/>
    <w:multiLevelType w:val="hybridMultilevel"/>
    <w:tmpl w:val="3F2CF726"/>
    <w:lvl w:ilvl="0" w:tplc="F9BA1F04">
      <w:start w:val="1"/>
      <w:numFmt w:val="lowerLetter"/>
      <w:lvlText w:val="%1."/>
      <w:lvlJc w:val="left"/>
      <w:pPr>
        <w:tabs>
          <w:tab w:val="num" w:pos="1470"/>
        </w:tabs>
        <w:ind w:left="1470" w:hanging="375"/>
      </w:pPr>
      <w:rPr>
        <w:rFonts w:hint="default"/>
        <w:b/>
        <w:i w:val="0"/>
        <w:strike w:val="0"/>
        <w:color w:val="000000"/>
        <w:u w:val="none"/>
      </w:rPr>
    </w:lvl>
    <w:lvl w:ilvl="1" w:tplc="041F0019" w:tentative="1">
      <w:start w:val="1"/>
      <w:numFmt w:val="lowerLetter"/>
      <w:lvlText w:val="%2."/>
      <w:lvlJc w:val="left"/>
      <w:pPr>
        <w:tabs>
          <w:tab w:val="num" w:pos="2175"/>
        </w:tabs>
        <w:ind w:left="2175" w:hanging="360"/>
      </w:pPr>
    </w:lvl>
    <w:lvl w:ilvl="2" w:tplc="041F001B" w:tentative="1">
      <w:start w:val="1"/>
      <w:numFmt w:val="lowerRoman"/>
      <w:lvlText w:val="%3."/>
      <w:lvlJc w:val="right"/>
      <w:pPr>
        <w:tabs>
          <w:tab w:val="num" w:pos="2895"/>
        </w:tabs>
        <w:ind w:left="2895" w:hanging="180"/>
      </w:pPr>
    </w:lvl>
    <w:lvl w:ilvl="3" w:tplc="041F000F" w:tentative="1">
      <w:start w:val="1"/>
      <w:numFmt w:val="decimal"/>
      <w:lvlText w:val="%4."/>
      <w:lvlJc w:val="left"/>
      <w:pPr>
        <w:tabs>
          <w:tab w:val="num" w:pos="3615"/>
        </w:tabs>
        <w:ind w:left="3615" w:hanging="360"/>
      </w:pPr>
    </w:lvl>
    <w:lvl w:ilvl="4" w:tplc="041F0019" w:tentative="1">
      <w:start w:val="1"/>
      <w:numFmt w:val="lowerLetter"/>
      <w:lvlText w:val="%5."/>
      <w:lvlJc w:val="left"/>
      <w:pPr>
        <w:tabs>
          <w:tab w:val="num" w:pos="4335"/>
        </w:tabs>
        <w:ind w:left="4335" w:hanging="360"/>
      </w:pPr>
    </w:lvl>
    <w:lvl w:ilvl="5" w:tplc="041F001B" w:tentative="1">
      <w:start w:val="1"/>
      <w:numFmt w:val="lowerRoman"/>
      <w:lvlText w:val="%6."/>
      <w:lvlJc w:val="right"/>
      <w:pPr>
        <w:tabs>
          <w:tab w:val="num" w:pos="5055"/>
        </w:tabs>
        <w:ind w:left="5055" w:hanging="180"/>
      </w:pPr>
    </w:lvl>
    <w:lvl w:ilvl="6" w:tplc="041F000F" w:tentative="1">
      <w:start w:val="1"/>
      <w:numFmt w:val="decimal"/>
      <w:lvlText w:val="%7."/>
      <w:lvlJc w:val="left"/>
      <w:pPr>
        <w:tabs>
          <w:tab w:val="num" w:pos="5775"/>
        </w:tabs>
        <w:ind w:left="5775" w:hanging="360"/>
      </w:pPr>
    </w:lvl>
    <w:lvl w:ilvl="7" w:tplc="041F0019" w:tentative="1">
      <w:start w:val="1"/>
      <w:numFmt w:val="lowerLetter"/>
      <w:lvlText w:val="%8."/>
      <w:lvlJc w:val="left"/>
      <w:pPr>
        <w:tabs>
          <w:tab w:val="num" w:pos="6495"/>
        </w:tabs>
        <w:ind w:left="6495" w:hanging="360"/>
      </w:pPr>
    </w:lvl>
    <w:lvl w:ilvl="8" w:tplc="041F001B" w:tentative="1">
      <w:start w:val="1"/>
      <w:numFmt w:val="lowerRoman"/>
      <w:lvlText w:val="%9."/>
      <w:lvlJc w:val="right"/>
      <w:pPr>
        <w:tabs>
          <w:tab w:val="num" w:pos="7215"/>
        </w:tabs>
        <w:ind w:left="7215" w:hanging="180"/>
      </w:pPr>
    </w:lvl>
  </w:abstractNum>
  <w:abstractNum w:abstractNumId="3">
    <w:nsid w:val="0A2D017A"/>
    <w:multiLevelType w:val="multilevel"/>
    <w:tmpl w:val="AD46064E"/>
    <w:lvl w:ilvl="0">
      <w:start w:val="1"/>
      <w:numFmt w:val="lowerLetter"/>
      <w:lvlText w:val="%1)"/>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1B7C2BDA"/>
    <w:multiLevelType w:val="multilevel"/>
    <w:tmpl w:val="1CF66EF8"/>
    <w:lvl w:ilvl="0">
      <w:start w:val="1"/>
      <w:numFmt w:val="lowerLetter"/>
      <w:lvlText w:val="%1)"/>
      <w:lvlJc w:val="left"/>
      <w:pPr>
        <w:ind w:left="720" w:hanging="360"/>
      </w:pPr>
      <w:rPr>
        <w:b w:val="0"/>
        <w:color w:val="00000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D7F5724"/>
    <w:multiLevelType w:val="hybridMultilevel"/>
    <w:tmpl w:val="517C91C6"/>
    <w:lvl w:ilvl="0" w:tplc="8CBC8712">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5773311B"/>
    <w:multiLevelType w:val="hybridMultilevel"/>
    <w:tmpl w:val="90BCFA60"/>
    <w:lvl w:ilvl="0" w:tplc="16DA05E6">
      <w:start w:val="1"/>
      <w:numFmt w:val="decimal"/>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7">
    <w:nsid w:val="616D60BD"/>
    <w:multiLevelType w:val="hybridMultilevel"/>
    <w:tmpl w:val="1600859E"/>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8">
    <w:nsid w:val="698D22FE"/>
    <w:multiLevelType w:val="hybridMultilevel"/>
    <w:tmpl w:val="ED14D9FA"/>
    <w:lvl w:ilvl="0" w:tplc="35DE16EE">
      <w:start w:val="1"/>
      <w:numFmt w:val="lowerLetter"/>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9">
    <w:nsid w:val="7969090C"/>
    <w:multiLevelType w:val="multilevel"/>
    <w:tmpl w:val="A00ECBA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0">
    <w:nsid w:val="7D9875F7"/>
    <w:multiLevelType w:val="hybridMultilevel"/>
    <w:tmpl w:val="CA78DE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7"/>
  </w:num>
  <w:num w:numId="5">
    <w:abstractNumId w:val="0"/>
  </w:num>
  <w:num w:numId="6">
    <w:abstractNumId w:val="6"/>
  </w:num>
  <w:num w:numId="7">
    <w:abstractNumId w:val="5"/>
  </w:num>
  <w:num w:numId="8">
    <w:abstractNumId w:val="1"/>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1F"/>
    <w:rsid w:val="000028F1"/>
    <w:rsid w:val="0001013D"/>
    <w:rsid w:val="0002678C"/>
    <w:rsid w:val="000570EC"/>
    <w:rsid w:val="00060B0A"/>
    <w:rsid w:val="000635DA"/>
    <w:rsid w:val="000649A2"/>
    <w:rsid w:val="0006529F"/>
    <w:rsid w:val="00082DE9"/>
    <w:rsid w:val="0008617E"/>
    <w:rsid w:val="00091778"/>
    <w:rsid w:val="00096679"/>
    <w:rsid w:val="000A0312"/>
    <w:rsid w:val="000B480D"/>
    <w:rsid w:val="000B5C40"/>
    <w:rsid w:val="000C4660"/>
    <w:rsid w:val="000D4ACC"/>
    <w:rsid w:val="000D516D"/>
    <w:rsid w:val="000F5585"/>
    <w:rsid w:val="0010232D"/>
    <w:rsid w:val="001028F0"/>
    <w:rsid w:val="00102AC2"/>
    <w:rsid w:val="0010659F"/>
    <w:rsid w:val="00106BB6"/>
    <w:rsid w:val="001074D3"/>
    <w:rsid w:val="00112B89"/>
    <w:rsid w:val="00112F64"/>
    <w:rsid w:val="00114666"/>
    <w:rsid w:val="001151B9"/>
    <w:rsid w:val="00122B69"/>
    <w:rsid w:val="00122B96"/>
    <w:rsid w:val="00132B2A"/>
    <w:rsid w:val="00137439"/>
    <w:rsid w:val="00142C33"/>
    <w:rsid w:val="00142C6B"/>
    <w:rsid w:val="00142DF0"/>
    <w:rsid w:val="00154802"/>
    <w:rsid w:val="00154B06"/>
    <w:rsid w:val="00155D9C"/>
    <w:rsid w:val="00162652"/>
    <w:rsid w:val="00184904"/>
    <w:rsid w:val="00192CBC"/>
    <w:rsid w:val="00197B1A"/>
    <w:rsid w:val="001A1801"/>
    <w:rsid w:val="001A43D9"/>
    <w:rsid w:val="001A470C"/>
    <w:rsid w:val="001A7528"/>
    <w:rsid w:val="001B16C7"/>
    <w:rsid w:val="001B34E2"/>
    <w:rsid w:val="001B7BAE"/>
    <w:rsid w:val="001C7DA5"/>
    <w:rsid w:val="001D5754"/>
    <w:rsid w:val="001D743F"/>
    <w:rsid w:val="001F0A4A"/>
    <w:rsid w:val="001F2E02"/>
    <w:rsid w:val="001F3280"/>
    <w:rsid w:val="002078E7"/>
    <w:rsid w:val="00213207"/>
    <w:rsid w:val="00213B8C"/>
    <w:rsid w:val="0022007B"/>
    <w:rsid w:val="0022284D"/>
    <w:rsid w:val="002249B9"/>
    <w:rsid w:val="00227736"/>
    <w:rsid w:val="00232887"/>
    <w:rsid w:val="002328A6"/>
    <w:rsid w:val="00251D65"/>
    <w:rsid w:val="00252ABB"/>
    <w:rsid w:val="0025519D"/>
    <w:rsid w:val="00263389"/>
    <w:rsid w:val="00267CE2"/>
    <w:rsid w:val="00271ACE"/>
    <w:rsid w:val="00281098"/>
    <w:rsid w:val="00294146"/>
    <w:rsid w:val="00295507"/>
    <w:rsid w:val="002A1F90"/>
    <w:rsid w:val="002A38B5"/>
    <w:rsid w:val="002A7C4C"/>
    <w:rsid w:val="002B5712"/>
    <w:rsid w:val="002B62CD"/>
    <w:rsid w:val="002B67D8"/>
    <w:rsid w:val="002C1FE8"/>
    <w:rsid w:val="002C3141"/>
    <w:rsid w:val="002C32E7"/>
    <w:rsid w:val="002C733D"/>
    <w:rsid w:val="002D4052"/>
    <w:rsid w:val="002D5291"/>
    <w:rsid w:val="002F09EE"/>
    <w:rsid w:val="002F2773"/>
    <w:rsid w:val="003043CF"/>
    <w:rsid w:val="00305529"/>
    <w:rsid w:val="0032485B"/>
    <w:rsid w:val="0032650B"/>
    <w:rsid w:val="00334452"/>
    <w:rsid w:val="00335C17"/>
    <w:rsid w:val="00340BCC"/>
    <w:rsid w:val="003426B4"/>
    <w:rsid w:val="00343CE4"/>
    <w:rsid w:val="00355BE2"/>
    <w:rsid w:val="0036019A"/>
    <w:rsid w:val="0036131C"/>
    <w:rsid w:val="003646AC"/>
    <w:rsid w:val="00367AAA"/>
    <w:rsid w:val="00375A99"/>
    <w:rsid w:val="0037748C"/>
    <w:rsid w:val="00380EC1"/>
    <w:rsid w:val="00386934"/>
    <w:rsid w:val="00387F2F"/>
    <w:rsid w:val="003923D0"/>
    <w:rsid w:val="003A76D5"/>
    <w:rsid w:val="003B1273"/>
    <w:rsid w:val="003B3496"/>
    <w:rsid w:val="003B614C"/>
    <w:rsid w:val="003B65A0"/>
    <w:rsid w:val="003B7577"/>
    <w:rsid w:val="003B7904"/>
    <w:rsid w:val="003D33E2"/>
    <w:rsid w:val="003D353E"/>
    <w:rsid w:val="003D3EDC"/>
    <w:rsid w:val="003D4A91"/>
    <w:rsid w:val="003D67A5"/>
    <w:rsid w:val="003D7D8B"/>
    <w:rsid w:val="003E2ABB"/>
    <w:rsid w:val="003E2CF5"/>
    <w:rsid w:val="003E2F51"/>
    <w:rsid w:val="003F21F6"/>
    <w:rsid w:val="003F7F7F"/>
    <w:rsid w:val="00400A53"/>
    <w:rsid w:val="00422187"/>
    <w:rsid w:val="0042432A"/>
    <w:rsid w:val="004306DA"/>
    <w:rsid w:val="00431000"/>
    <w:rsid w:val="00435C69"/>
    <w:rsid w:val="00437882"/>
    <w:rsid w:val="00437A2B"/>
    <w:rsid w:val="00437E02"/>
    <w:rsid w:val="00454CEE"/>
    <w:rsid w:val="004614A6"/>
    <w:rsid w:val="004811F9"/>
    <w:rsid w:val="00495E28"/>
    <w:rsid w:val="0049673E"/>
    <w:rsid w:val="004A2766"/>
    <w:rsid w:val="004A2D55"/>
    <w:rsid w:val="004A30A4"/>
    <w:rsid w:val="004A3538"/>
    <w:rsid w:val="004B409F"/>
    <w:rsid w:val="004B4967"/>
    <w:rsid w:val="004C2D0A"/>
    <w:rsid w:val="004C2F2E"/>
    <w:rsid w:val="004C33CF"/>
    <w:rsid w:val="004D4AB0"/>
    <w:rsid w:val="004D79B1"/>
    <w:rsid w:val="004F0956"/>
    <w:rsid w:val="004F14E4"/>
    <w:rsid w:val="00513AC1"/>
    <w:rsid w:val="00515831"/>
    <w:rsid w:val="00524093"/>
    <w:rsid w:val="00530DC7"/>
    <w:rsid w:val="00533AB5"/>
    <w:rsid w:val="0054030D"/>
    <w:rsid w:val="00542B6B"/>
    <w:rsid w:val="00545D6C"/>
    <w:rsid w:val="005509D7"/>
    <w:rsid w:val="00551747"/>
    <w:rsid w:val="00551994"/>
    <w:rsid w:val="00564AC6"/>
    <w:rsid w:val="00566D69"/>
    <w:rsid w:val="00571245"/>
    <w:rsid w:val="005727EE"/>
    <w:rsid w:val="00586B37"/>
    <w:rsid w:val="00587D2D"/>
    <w:rsid w:val="005A67CA"/>
    <w:rsid w:val="005A7C99"/>
    <w:rsid w:val="005B6E8D"/>
    <w:rsid w:val="005B7BE6"/>
    <w:rsid w:val="005D4B81"/>
    <w:rsid w:val="005D73D0"/>
    <w:rsid w:val="005E3D56"/>
    <w:rsid w:val="005F3943"/>
    <w:rsid w:val="006071BE"/>
    <w:rsid w:val="0061130D"/>
    <w:rsid w:val="00617781"/>
    <w:rsid w:val="006206B3"/>
    <w:rsid w:val="00646120"/>
    <w:rsid w:val="0064646D"/>
    <w:rsid w:val="00652BE3"/>
    <w:rsid w:val="0065365D"/>
    <w:rsid w:val="00653923"/>
    <w:rsid w:val="00654C09"/>
    <w:rsid w:val="0066280C"/>
    <w:rsid w:val="00670011"/>
    <w:rsid w:val="0068335F"/>
    <w:rsid w:val="00687B3C"/>
    <w:rsid w:val="00696600"/>
    <w:rsid w:val="00696A26"/>
    <w:rsid w:val="006A0F3A"/>
    <w:rsid w:val="006A6898"/>
    <w:rsid w:val="006A6C66"/>
    <w:rsid w:val="006B71CC"/>
    <w:rsid w:val="006C552F"/>
    <w:rsid w:val="006D3D0E"/>
    <w:rsid w:val="006D592E"/>
    <w:rsid w:val="006E42C5"/>
    <w:rsid w:val="006F0146"/>
    <w:rsid w:val="006F0929"/>
    <w:rsid w:val="0070359F"/>
    <w:rsid w:val="00703850"/>
    <w:rsid w:val="00714CCE"/>
    <w:rsid w:val="007216FA"/>
    <w:rsid w:val="00731A46"/>
    <w:rsid w:val="007329DF"/>
    <w:rsid w:val="00733331"/>
    <w:rsid w:val="007341DD"/>
    <w:rsid w:val="0073426E"/>
    <w:rsid w:val="00734FB9"/>
    <w:rsid w:val="00735927"/>
    <w:rsid w:val="007433C6"/>
    <w:rsid w:val="007469FC"/>
    <w:rsid w:val="00750398"/>
    <w:rsid w:val="007503AF"/>
    <w:rsid w:val="007517F1"/>
    <w:rsid w:val="00755F7B"/>
    <w:rsid w:val="00764E59"/>
    <w:rsid w:val="007654CC"/>
    <w:rsid w:val="0077151F"/>
    <w:rsid w:val="00771831"/>
    <w:rsid w:val="0077359F"/>
    <w:rsid w:val="00774FAF"/>
    <w:rsid w:val="0077794D"/>
    <w:rsid w:val="00781F14"/>
    <w:rsid w:val="00787B00"/>
    <w:rsid w:val="0079117B"/>
    <w:rsid w:val="00791B94"/>
    <w:rsid w:val="00796538"/>
    <w:rsid w:val="007A111F"/>
    <w:rsid w:val="007A2A54"/>
    <w:rsid w:val="007C530A"/>
    <w:rsid w:val="007D100F"/>
    <w:rsid w:val="007E0E87"/>
    <w:rsid w:val="007F0EFF"/>
    <w:rsid w:val="007F1849"/>
    <w:rsid w:val="007F1A41"/>
    <w:rsid w:val="007F1EC4"/>
    <w:rsid w:val="008044FF"/>
    <w:rsid w:val="0081522F"/>
    <w:rsid w:val="008255D2"/>
    <w:rsid w:val="00826996"/>
    <w:rsid w:val="008306AF"/>
    <w:rsid w:val="008314EA"/>
    <w:rsid w:val="00832EA6"/>
    <w:rsid w:val="008504C7"/>
    <w:rsid w:val="008605BB"/>
    <w:rsid w:val="00862D19"/>
    <w:rsid w:val="00874B75"/>
    <w:rsid w:val="008750F1"/>
    <w:rsid w:val="00882186"/>
    <w:rsid w:val="00883FB8"/>
    <w:rsid w:val="008866B2"/>
    <w:rsid w:val="00894A09"/>
    <w:rsid w:val="008A5DEA"/>
    <w:rsid w:val="008A6304"/>
    <w:rsid w:val="008B42C8"/>
    <w:rsid w:val="008C5D1C"/>
    <w:rsid w:val="008D13DD"/>
    <w:rsid w:val="008E6536"/>
    <w:rsid w:val="008E6A3C"/>
    <w:rsid w:val="00900A74"/>
    <w:rsid w:val="009068CE"/>
    <w:rsid w:val="00910133"/>
    <w:rsid w:val="0091075F"/>
    <w:rsid w:val="009121FF"/>
    <w:rsid w:val="00913F5B"/>
    <w:rsid w:val="0093169B"/>
    <w:rsid w:val="009316DC"/>
    <w:rsid w:val="0093406B"/>
    <w:rsid w:val="0094025C"/>
    <w:rsid w:val="00940728"/>
    <w:rsid w:val="0094182F"/>
    <w:rsid w:val="00941A7B"/>
    <w:rsid w:val="00943625"/>
    <w:rsid w:val="00945A74"/>
    <w:rsid w:val="00946098"/>
    <w:rsid w:val="00953920"/>
    <w:rsid w:val="00961183"/>
    <w:rsid w:val="009639AA"/>
    <w:rsid w:val="00967733"/>
    <w:rsid w:val="00975A97"/>
    <w:rsid w:val="00986215"/>
    <w:rsid w:val="00987C31"/>
    <w:rsid w:val="00991E45"/>
    <w:rsid w:val="00994CFB"/>
    <w:rsid w:val="009A1DDC"/>
    <w:rsid w:val="009A581E"/>
    <w:rsid w:val="009A6530"/>
    <w:rsid w:val="009B3D69"/>
    <w:rsid w:val="009B4D6D"/>
    <w:rsid w:val="009B7A5A"/>
    <w:rsid w:val="009C2E0B"/>
    <w:rsid w:val="009C5772"/>
    <w:rsid w:val="009C7D51"/>
    <w:rsid w:val="009D045F"/>
    <w:rsid w:val="009D6453"/>
    <w:rsid w:val="009D799D"/>
    <w:rsid w:val="009E1DB0"/>
    <w:rsid w:val="009E6FE5"/>
    <w:rsid w:val="009E7731"/>
    <w:rsid w:val="009F0B84"/>
    <w:rsid w:val="009F3A39"/>
    <w:rsid w:val="00A02597"/>
    <w:rsid w:val="00A04EFE"/>
    <w:rsid w:val="00A063D1"/>
    <w:rsid w:val="00A17B25"/>
    <w:rsid w:val="00A27ECE"/>
    <w:rsid w:val="00A31B52"/>
    <w:rsid w:val="00A369FC"/>
    <w:rsid w:val="00A40E29"/>
    <w:rsid w:val="00A41D10"/>
    <w:rsid w:val="00A65A2E"/>
    <w:rsid w:val="00A663D3"/>
    <w:rsid w:val="00A736BC"/>
    <w:rsid w:val="00A86CC7"/>
    <w:rsid w:val="00A912D6"/>
    <w:rsid w:val="00A924DF"/>
    <w:rsid w:val="00A93F3D"/>
    <w:rsid w:val="00AA115F"/>
    <w:rsid w:val="00AA4D08"/>
    <w:rsid w:val="00AA5B0D"/>
    <w:rsid w:val="00AA7357"/>
    <w:rsid w:val="00AE51A9"/>
    <w:rsid w:val="00AF05B8"/>
    <w:rsid w:val="00B04C16"/>
    <w:rsid w:val="00B133FD"/>
    <w:rsid w:val="00B15F81"/>
    <w:rsid w:val="00B261B2"/>
    <w:rsid w:val="00B30EE9"/>
    <w:rsid w:val="00B315E8"/>
    <w:rsid w:val="00B404BB"/>
    <w:rsid w:val="00B51644"/>
    <w:rsid w:val="00B520CC"/>
    <w:rsid w:val="00B52856"/>
    <w:rsid w:val="00B53303"/>
    <w:rsid w:val="00B53A55"/>
    <w:rsid w:val="00B5678E"/>
    <w:rsid w:val="00B649E2"/>
    <w:rsid w:val="00B65CAA"/>
    <w:rsid w:val="00B679FE"/>
    <w:rsid w:val="00B94991"/>
    <w:rsid w:val="00BA2DDC"/>
    <w:rsid w:val="00BA3C7D"/>
    <w:rsid w:val="00BA44D2"/>
    <w:rsid w:val="00BA564F"/>
    <w:rsid w:val="00BC7C7F"/>
    <w:rsid w:val="00BC7CB4"/>
    <w:rsid w:val="00BD1B6C"/>
    <w:rsid w:val="00BD298B"/>
    <w:rsid w:val="00BD67DF"/>
    <w:rsid w:val="00BE41FD"/>
    <w:rsid w:val="00BE4FB1"/>
    <w:rsid w:val="00BE7219"/>
    <w:rsid w:val="00BF237E"/>
    <w:rsid w:val="00BF461C"/>
    <w:rsid w:val="00BF5010"/>
    <w:rsid w:val="00BF7887"/>
    <w:rsid w:val="00C00DCC"/>
    <w:rsid w:val="00C020C5"/>
    <w:rsid w:val="00C028FE"/>
    <w:rsid w:val="00C15B05"/>
    <w:rsid w:val="00C20500"/>
    <w:rsid w:val="00C25D29"/>
    <w:rsid w:val="00C404F3"/>
    <w:rsid w:val="00C5594E"/>
    <w:rsid w:val="00C56DE2"/>
    <w:rsid w:val="00C5734C"/>
    <w:rsid w:val="00C61544"/>
    <w:rsid w:val="00C65BE6"/>
    <w:rsid w:val="00C7071C"/>
    <w:rsid w:val="00C77D59"/>
    <w:rsid w:val="00C80094"/>
    <w:rsid w:val="00C806AA"/>
    <w:rsid w:val="00C80E4D"/>
    <w:rsid w:val="00C8786F"/>
    <w:rsid w:val="00C93FA1"/>
    <w:rsid w:val="00C95D86"/>
    <w:rsid w:val="00C96C73"/>
    <w:rsid w:val="00CA0988"/>
    <w:rsid w:val="00CA1C1E"/>
    <w:rsid w:val="00CA669A"/>
    <w:rsid w:val="00CC0C0D"/>
    <w:rsid w:val="00CD3787"/>
    <w:rsid w:val="00CD45E6"/>
    <w:rsid w:val="00CE1B26"/>
    <w:rsid w:val="00CE2E20"/>
    <w:rsid w:val="00CF7998"/>
    <w:rsid w:val="00CF7CC2"/>
    <w:rsid w:val="00CF7D64"/>
    <w:rsid w:val="00D004E8"/>
    <w:rsid w:val="00D05F61"/>
    <w:rsid w:val="00D118AD"/>
    <w:rsid w:val="00D16A60"/>
    <w:rsid w:val="00D426CF"/>
    <w:rsid w:val="00D6131E"/>
    <w:rsid w:val="00D7388D"/>
    <w:rsid w:val="00D7575C"/>
    <w:rsid w:val="00D770EB"/>
    <w:rsid w:val="00D816EA"/>
    <w:rsid w:val="00D8307F"/>
    <w:rsid w:val="00D834B8"/>
    <w:rsid w:val="00D932E6"/>
    <w:rsid w:val="00D97FBF"/>
    <w:rsid w:val="00DA1284"/>
    <w:rsid w:val="00DA5050"/>
    <w:rsid w:val="00DA7541"/>
    <w:rsid w:val="00DC13BA"/>
    <w:rsid w:val="00DC2AA0"/>
    <w:rsid w:val="00DC3390"/>
    <w:rsid w:val="00DC5971"/>
    <w:rsid w:val="00DD00F6"/>
    <w:rsid w:val="00DE052F"/>
    <w:rsid w:val="00DE10DA"/>
    <w:rsid w:val="00DE3FDC"/>
    <w:rsid w:val="00E009C3"/>
    <w:rsid w:val="00E041E9"/>
    <w:rsid w:val="00E10317"/>
    <w:rsid w:val="00E10803"/>
    <w:rsid w:val="00E153E0"/>
    <w:rsid w:val="00E15754"/>
    <w:rsid w:val="00E17A86"/>
    <w:rsid w:val="00E205DF"/>
    <w:rsid w:val="00E20DA2"/>
    <w:rsid w:val="00E236D3"/>
    <w:rsid w:val="00E27D0F"/>
    <w:rsid w:val="00E30781"/>
    <w:rsid w:val="00E31419"/>
    <w:rsid w:val="00E32BE7"/>
    <w:rsid w:val="00E41071"/>
    <w:rsid w:val="00E5002A"/>
    <w:rsid w:val="00E50E36"/>
    <w:rsid w:val="00E52747"/>
    <w:rsid w:val="00E5575F"/>
    <w:rsid w:val="00E60185"/>
    <w:rsid w:val="00E76127"/>
    <w:rsid w:val="00E86B1D"/>
    <w:rsid w:val="00E90B8F"/>
    <w:rsid w:val="00E9584A"/>
    <w:rsid w:val="00E97D33"/>
    <w:rsid w:val="00EA269C"/>
    <w:rsid w:val="00EB2EF0"/>
    <w:rsid w:val="00EB5973"/>
    <w:rsid w:val="00EB78D0"/>
    <w:rsid w:val="00EC48C8"/>
    <w:rsid w:val="00ED29AA"/>
    <w:rsid w:val="00EE3DBD"/>
    <w:rsid w:val="00F0093D"/>
    <w:rsid w:val="00F03B2B"/>
    <w:rsid w:val="00F0669C"/>
    <w:rsid w:val="00F142E9"/>
    <w:rsid w:val="00F21E24"/>
    <w:rsid w:val="00F22030"/>
    <w:rsid w:val="00F2482B"/>
    <w:rsid w:val="00F32682"/>
    <w:rsid w:val="00F44499"/>
    <w:rsid w:val="00F44A86"/>
    <w:rsid w:val="00F52044"/>
    <w:rsid w:val="00F55C0D"/>
    <w:rsid w:val="00F61E86"/>
    <w:rsid w:val="00F64927"/>
    <w:rsid w:val="00F84318"/>
    <w:rsid w:val="00F84890"/>
    <w:rsid w:val="00FA031F"/>
    <w:rsid w:val="00FA27D9"/>
    <w:rsid w:val="00FA4EE3"/>
    <w:rsid w:val="00FB13C0"/>
    <w:rsid w:val="00FB33F9"/>
    <w:rsid w:val="00FB5A30"/>
    <w:rsid w:val="00FB6F21"/>
    <w:rsid w:val="00FD39B9"/>
    <w:rsid w:val="00FD3D77"/>
    <w:rsid w:val="00FD4755"/>
    <w:rsid w:val="00FD670A"/>
    <w:rsid w:val="00FF5D79"/>
    <w:rsid w:val="00FF6FB3"/>
    <w:rsid w:val="00FF7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A98EA8-2538-4BAE-8574-649E00D0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tr-TR" w:eastAsia="tr-T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5D86"/>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rsid w:val="00C95D86"/>
    <w:pPr>
      <w:keepNext/>
      <w:keepLines/>
      <w:spacing w:before="480" w:after="120"/>
    </w:pPr>
    <w:rPr>
      <w:b/>
      <w:sz w:val="48"/>
      <w:szCs w:val="48"/>
    </w:rPr>
  </w:style>
  <w:style w:type="paragraph" w:styleId="Balk2">
    <w:name w:val="heading 2"/>
    <w:basedOn w:val="Normal"/>
    <w:next w:val="Normal"/>
    <w:rsid w:val="00C95D86"/>
    <w:pPr>
      <w:keepNext/>
      <w:keepLines/>
      <w:spacing w:before="360" w:after="80"/>
      <w:outlineLvl w:val="1"/>
    </w:pPr>
    <w:rPr>
      <w:b/>
      <w:sz w:val="36"/>
      <w:szCs w:val="36"/>
    </w:rPr>
  </w:style>
  <w:style w:type="paragraph" w:styleId="Balk3">
    <w:name w:val="heading 3"/>
    <w:basedOn w:val="Normal"/>
    <w:next w:val="Normal"/>
    <w:rsid w:val="00C95D86"/>
    <w:pPr>
      <w:keepNext/>
      <w:keepLines/>
      <w:spacing w:before="280" w:after="80"/>
      <w:outlineLvl w:val="2"/>
    </w:pPr>
    <w:rPr>
      <w:b/>
      <w:sz w:val="28"/>
      <w:szCs w:val="28"/>
    </w:rPr>
  </w:style>
  <w:style w:type="paragraph" w:styleId="Balk4">
    <w:name w:val="heading 4"/>
    <w:basedOn w:val="Normal"/>
    <w:next w:val="Normal"/>
    <w:rsid w:val="00C95D86"/>
    <w:pPr>
      <w:keepNext/>
      <w:keepLines/>
      <w:spacing w:before="240" w:after="40"/>
      <w:outlineLvl w:val="3"/>
    </w:pPr>
    <w:rPr>
      <w:b/>
    </w:rPr>
  </w:style>
  <w:style w:type="paragraph" w:styleId="Balk5">
    <w:name w:val="heading 5"/>
    <w:basedOn w:val="Normal"/>
    <w:next w:val="Normal"/>
    <w:rsid w:val="00C95D86"/>
    <w:pPr>
      <w:keepNext/>
      <w:keepLines/>
      <w:spacing w:before="220" w:after="40"/>
      <w:outlineLvl w:val="4"/>
    </w:pPr>
    <w:rPr>
      <w:b/>
      <w:sz w:val="22"/>
      <w:szCs w:val="22"/>
    </w:rPr>
  </w:style>
  <w:style w:type="paragraph" w:styleId="Balk6">
    <w:name w:val="heading 6"/>
    <w:basedOn w:val="Normal"/>
    <w:next w:val="Normal"/>
    <w:rsid w:val="00C95D86"/>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C95D86"/>
    <w:tblPr>
      <w:tblCellMar>
        <w:top w:w="0" w:type="dxa"/>
        <w:left w:w="0" w:type="dxa"/>
        <w:bottom w:w="0" w:type="dxa"/>
        <w:right w:w="0" w:type="dxa"/>
      </w:tblCellMar>
    </w:tblPr>
  </w:style>
  <w:style w:type="paragraph" w:styleId="KonuBal">
    <w:name w:val="Title"/>
    <w:basedOn w:val="Normal"/>
    <w:next w:val="Normal"/>
    <w:rsid w:val="00C95D86"/>
    <w:pPr>
      <w:keepNext/>
      <w:keepLines/>
      <w:spacing w:before="480" w:after="120"/>
    </w:pPr>
    <w:rPr>
      <w:b/>
      <w:sz w:val="72"/>
      <w:szCs w:val="72"/>
    </w:rPr>
  </w:style>
  <w:style w:type="paragraph" w:styleId="Altbilgi">
    <w:name w:val="footer"/>
    <w:basedOn w:val="Normal"/>
    <w:link w:val="AltbilgiChar"/>
    <w:uiPriority w:val="99"/>
    <w:rsid w:val="00C95D86"/>
    <w:pPr>
      <w:tabs>
        <w:tab w:val="center" w:pos="4536"/>
        <w:tab w:val="right" w:pos="9072"/>
      </w:tabs>
    </w:pPr>
  </w:style>
  <w:style w:type="character" w:styleId="SayfaNumaras">
    <w:name w:val="page number"/>
    <w:basedOn w:val="VarsaylanParagrafYazTipi"/>
    <w:rsid w:val="00C95D86"/>
    <w:rPr>
      <w:w w:val="100"/>
      <w:position w:val="-1"/>
      <w:effect w:val="none"/>
      <w:vertAlign w:val="baseline"/>
      <w:cs w:val="0"/>
      <w:em w:val="none"/>
    </w:rPr>
  </w:style>
  <w:style w:type="paragraph" w:styleId="ListeParagraf">
    <w:name w:val="List Paragraph"/>
    <w:basedOn w:val="Normal"/>
    <w:rsid w:val="00C95D86"/>
    <w:pPr>
      <w:spacing w:after="200" w:line="276" w:lineRule="auto"/>
      <w:ind w:left="720"/>
      <w:contextualSpacing/>
    </w:pPr>
    <w:rPr>
      <w:rFonts w:ascii="Calibri" w:eastAsia="Calibri" w:hAnsi="Calibri"/>
      <w:sz w:val="22"/>
      <w:szCs w:val="22"/>
      <w:lang w:val="en-US" w:eastAsia="en-US"/>
    </w:rPr>
  </w:style>
  <w:style w:type="paragraph" w:styleId="BalonMetni">
    <w:name w:val="Balloon Text"/>
    <w:basedOn w:val="Normal"/>
    <w:rsid w:val="00C95D86"/>
    <w:rPr>
      <w:rFonts w:ascii="Tahoma" w:hAnsi="Tahoma" w:cs="Tahoma"/>
      <w:sz w:val="16"/>
      <w:szCs w:val="16"/>
    </w:rPr>
  </w:style>
  <w:style w:type="paragraph" w:styleId="stbilgi">
    <w:name w:val="header"/>
    <w:basedOn w:val="Normal"/>
    <w:rsid w:val="00C95D86"/>
    <w:pPr>
      <w:tabs>
        <w:tab w:val="center" w:pos="4536"/>
        <w:tab w:val="right" w:pos="9072"/>
      </w:tabs>
    </w:pPr>
  </w:style>
  <w:style w:type="character" w:customStyle="1" w:styleId="stbilgiChar">
    <w:name w:val="Üstbilgi Char"/>
    <w:rsid w:val="00C95D86"/>
    <w:rPr>
      <w:w w:val="100"/>
      <w:position w:val="-1"/>
      <w:sz w:val="24"/>
      <w:szCs w:val="24"/>
      <w:effect w:val="none"/>
      <w:vertAlign w:val="baseline"/>
      <w:cs w:val="0"/>
      <w:em w:val="none"/>
    </w:rPr>
  </w:style>
  <w:style w:type="table" w:styleId="TabloKlavuzu">
    <w:name w:val="Table Grid"/>
    <w:basedOn w:val="NormalTablo"/>
    <w:rsid w:val="00C95D8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Normal"/>
    <w:rsid w:val="00C95D86"/>
    <w:pPr>
      <w:spacing w:before="100" w:beforeAutospacing="1" w:after="100" w:afterAutospacing="1"/>
    </w:pPr>
  </w:style>
  <w:style w:type="character" w:customStyle="1" w:styleId="style2">
    <w:name w:val="style2"/>
    <w:basedOn w:val="VarsaylanParagrafYazTipi"/>
    <w:rsid w:val="00C95D86"/>
    <w:rPr>
      <w:w w:val="100"/>
      <w:position w:val="-1"/>
      <w:effect w:val="none"/>
      <w:vertAlign w:val="baseline"/>
      <w:cs w:val="0"/>
      <w:em w:val="none"/>
    </w:rPr>
  </w:style>
  <w:style w:type="paragraph" w:customStyle="1" w:styleId="3-NormalYaz">
    <w:name w:val="3-Normal Yazı"/>
    <w:rsid w:val="00C95D86"/>
    <w:pPr>
      <w:tabs>
        <w:tab w:val="left" w:pos="566"/>
      </w:tabs>
      <w:suppressAutoHyphens/>
      <w:spacing w:line="1" w:lineRule="atLeast"/>
      <w:ind w:leftChars="-1" w:left="-1" w:hangingChars="1" w:hanging="1"/>
      <w:jc w:val="both"/>
      <w:textDirection w:val="btLr"/>
      <w:textAlignment w:val="top"/>
      <w:outlineLvl w:val="0"/>
    </w:pPr>
    <w:rPr>
      <w:position w:val="-1"/>
      <w:sz w:val="19"/>
      <w:lang w:eastAsia="en-US"/>
    </w:rPr>
  </w:style>
  <w:style w:type="paragraph" w:styleId="Altyaz">
    <w:name w:val="Subtitle"/>
    <w:basedOn w:val="Normal"/>
    <w:next w:val="Normal"/>
    <w:rsid w:val="00C95D86"/>
    <w:pPr>
      <w:keepNext/>
      <w:keepLines/>
      <w:spacing w:before="360" w:after="80"/>
    </w:pPr>
    <w:rPr>
      <w:rFonts w:ascii="Georgia" w:eastAsia="Georgia" w:hAnsi="Georgia" w:cs="Georgia"/>
      <w:i/>
      <w:color w:val="666666"/>
      <w:sz w:val="48"/>
      <w:szCs w:val="48"/>
    </w:rPr>
  </w:style>
  <w:style w:type="table" w:customStyle="1" w:styleId="a">
    <w:basedOn w:val="TableNormal"/>
    <w:rsid w:val="00C95D86"/>
    <w:tblPr>
      <w:tblStyleRowBandSize w:val="1"/>
      <w:tblStyleColBandSize w:val="1"/>
      <w:tblCellMar>
        <w:top w:w="0" w:type="dxa"/>
        <w:left w:w="108" w:type="dxa"/>
        <w:bottom w:w="0" w:type="dxa"/>
        <w:right w:w="108" w:type="dxa"/>
      </w:tblCellMar>
    </w:tblPr>
  </w:style>
  <w:style w:type="table" w:customStyle="1" w:styleId="a0">
    <w:basedOn w:val="TableNormal"/>
    <w:rsid w:val="00C95D86"/>
    <w:tblPr>
      <w:tblStyleRowBandSize w:val="1"/>
      <w:tblStyleColBandSize w:val="1"/>
      <w:tblCellMar>
        <w:top w:w="0" w:type="dxa"/>
        <w:left w:w="108" w:type="dxa"/>
        <w:bottom w:w="0" w:type="dxa"/>
        <w:right w:w="108" w:type="dxa"/>
      </w:tblCellMar>
    </w:tblPr>
  </w:style>
  <w:style w:type="table" w:customStyle="1" w:styleId="a1">
    <w:basedOn w:val="TableNormal"/>
    <w:rsid w:val="00C95D86"/>
    <w:tblPr>
      <w:tblStyleRowBandSize w:val="1"/>
      <w:tblStyleColBandSize w:val="1"/>
      <w:tblCellMar>
        <w:top w:w="0" w:type="dxa"/>
        <w:left w:w="108" w:type="dxa"/>
        <w:bottom w:w="0" w:type="dxa"/>
        <w:right w:w="108" w:type="dxa"/>
      </w:tblCellMar>
    </w:tblPr>
  </w:style>
  <w:style w:type="table" w:customStyle="1" w:styleId="a2">
    <w:basedOn w:val="TableNormal"/>
    <w:rsid w:val="00C95D86"/>
    <w:tblPr>
      <w:tblStyleRowBandSize w:val="1"/>
      <w:tblStyleColBandSize w:val="1"/>
      <w:tblCellMar>
        <w:top w:w="0" w:type="dxa"/>
        <w:left w:w="108" w:type="dxa"/>
        <w:bottom w:w="0" w:type="dxa"/>
        <w:right w:w="108" w:type="dxa"/>
      </w:tblCellMar>
    </w:tblPr>
  </w:style>
  <w:style w:type="table" w:customStyle="1" w:styleId="a3">
    <w:basedOn w:val="TableNormal"/>
    <w:rsid w:val="00C95D86"/>
    <w:tblPr>
      <w:tblStyleRowBandSize w:val="1"/>
      <w:tblStyleColBandSize w:val="1"/>
      <w:tblCellMar>
        <w:top w:w="0" w:type="dxa"/>
        <w:left w:w="108" w:type="dxa"/>
        <w:bottom w:w="0" w:type="dxa"/>
        <w:right w:w="108" w:type="dxa"/>
      </w:tblCellMar>
    </w:tblPr>
  </w:style>
  <w:style w:type="table" w:customStyle="1" w:styleId="a4">
    <w:basedOn w:val="TableNormal"/>
    <w:rsid w:val="00C95D86"/>
    <w:tblPr>
      <w:tblStyleRowBandSize w:val="1"/>
      <w:tblStyleColBandSize w:val="1"/>
      <w:tblCellMar>
        <w:top w:w="0" w:type="dxa"/>
        <w:left w:w="108" w:type="dxa"/>
        <w:bottom w:w="0" w:type="dxa"/>
        <w:right w:w="108" w:type="dxa"/>
      </w:tblCellMar>
    </w:tblPr>
  </w:style>
  <w:style w:type="table" w:customStyle="1" w:styleId="a5">
    <w:basedOn w:val="TableNormal"/>
    <w:rsid w:val="00C95D86"/>
    <w:tblPr>
      <w:tblStyleRowBandSize w:val="1"/>
      <w:tblStyleColBandSize w:val="1"/>
      <w:tblCellMar>
        <w:top w:w="0" w:type="dxa"/>
        <w:left w:w="108" w:type="dxa"/>
        <w:bottom w:w="0" w:type="dxa"/>
        <w:right w:w="108" w:type="dxa"/>
      </w:tblCellMar>
    </w:tblPr>
  </w:style>
  <w:style w:type="table" w:customStyle="1" w:styleId="a6">
    <w:basedOn w:val="TableNormal"/>
    <w:rsid w:val="00C95D86"/>
    <w:tblPr>
      <w:tblStyleRowBandSize w:val="1"/>
      <w:tblStyleColBandSize w:val="1"/>
      <w:tblCellMar>
        <w:top w:w="0" w:type="dxa"/>
        <w:left w:w="108" w:type="dxa"/>
        <w:bottom w:w="0" w:type="dxa"/>
        <w:right w:w="108" w:type="dxa"/>
      </w:tblCellMar>
    </w:tblPr>
  </w:style>
  <w:style w:type="table" w:customStyle="1" w:styleId="a7">
    <w:basedOn w:val="TableNormal"/>
    <w:rsid w:val="00C95D86"/>
    <w:tblPr>
      <w:tblStyleRowBandSize w:val="1"/>
      <w:tblStyleColBandSize w:val="1"/>
      <w:tblCellMar>
        <w:top w:w="0" w:type="dxa"/>
        <w:left w:w="108" w:type="dxa"/>
        <w:bottom w:w="0" w:type="dxa"/>
        <w:right w:w="108" w:type="dxa"/>
      </w:tblCellMar>
    </w:tblPr>
  </w:style>
  <w:style w:type="table" w:customStyle="1" w:styleId="a8">
    <w:basedOn w:val="TableNormal"/>
    <w:rsid w:val="00C95D86"/>
    <w:tblPr>
      <w:tblStyleRowBandSize w:val="1"/>
      <w:tblStyleColBandSize w:val="1"/>
      <w:tblCellMar>
        <w:top w:w="0" w:type="dxa"/>
        <w:left w:w="108" w:type="dxa"/>
        <w:bottom w:w="0" w:type="dxa"/>
        <w:right w:w="108" w:type="dxa"/>
      </w:tblCellMar>
    </w:tblPr>
  </w:style>
  <w:style w:type="table" w:customStyle="1" w:styleId="a9">
    <w:basedOn w:val="TableNormal"/>
    <w:rsid w:val="00C95D86"/>
    <w:tblPr>
      <w:tblStyleRowBandSize w:val="1"/>
      <w:tblStyleColBandSize w:val="1"/>
      <w:tblCellMar>
        <w:top w:w="0" w:type="dxa"/>
        <w:left w:w="108" w:type="dxa"/>
        <w:bottom w:w="0" w:type="dxa"/>
        <w:right w:w="108" w:type="dxa"/>
      </w:tblCellMar>
    </w:tblPr>
  </w:style>
  <w:style w:type="table" w:customStyle="1" w:styleId="aa">
    <w:basedOn w:val="TableNormal"/>
    <w:rsid w:val="00C95D86"/>
    <w:tblPr>
      <w:tblStyleRowBandSize w:val="1"/>
      <w:tblStyleColBandSize w:val="1"/>
      <w:tblCellMar>
        <w:top w:w="0" w:type="dxa"/>
        <w:left w:w="108" w:type="dxa"/>
        <w:bottom w:w="0" w:type="dxa"/>
        <w:right w:w="108" w:type="dxa"/>
      </w:tblCellMar>
    </w:tblPr>
  </w:style>
  <w:style w:type="table" w:customStyle="1" w:styleId="ab">
    <w:basedOn w:val="TableNormal"/>
    <w:rsid w:val="00C95D86"/>
    <w:tblPr>
      <w:tblStyleRowBandSize w:val="1"/>
      <w:tblStyleColBandSize w:val="1"/>
      <w:tblCellMar>
        <w:top w:w="0" w:type="dxa"/>
        <w:left w:w="108" w:type="dxa"/>
        <w:bottom w:w="0" w:type="dxa"/>
        <w:right w:w="108" w:type="dxa"/>
      </w:tblCellMar>
    </w:tblPr>
  </w:style>
  <w:style w:type="paragraph" w:styleId="AklamaMetni">
    <w:name w:val="annotation text"/>
    <w:basedOn w:val="Normal"/>
    <w:link w:val="AklamaMetniChar"/>
    <w:uiPriority w:val="99"/>
    <w:semiHidden/>
    <w:unhideWhenUsed/>
    <w:rsid w:val="00C95D8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95D86"/>
    <w:rPr>
      <w:position w:val="-1"/>
      <w:sz w:val="20"/>
      <w:szCs w:val="20"/>
    </w:rPr>
  </w:style>
  <w:style w:type="character" w:styleId="AklamaBavurusu">
    <w:name w:val="annotation reference"/>
    <w:basedOn w:val="VarsaylanParagrafYazTipi"/>
    <w:uiPriority w:val="99"/>
    <w:semiHidden/>
    <w:unhideWhenUsed/>
    <w:rsid w:val="00C95D86"/>
    <w:rPr>
      <w:sz w:val="16"/>
      <w:szCs w:val="16"/>
    </w:rPr>
  </w:style>
  <w:style w:type="paragraph" w:styleId="AralkYok">
    <w:name w:val="No Spacing"/>
    <w:uiPriority w:val="1"/>
    <w:qFormat/>
    <w:rsid w:val="00E32BE7"/>
    <w:pPr>
      <w:suppressAutoHyphens/>
      <w:ind w:leftChars="-1" w:left="-1" w:hangingChars="1" w:hanging="1"/>
      <w:textDirection w:val="btLr"/>
      <w:textAlignment w:val="top"/>
      <w:outlineLvl w:val="0"/>
    </w:pPr>
    <w:rPr>
      <w:position w:val="-1"/>
    </w:rPr>
  </w:style>
  <w:style w:type="character" w:customStyle="1" w:styleId="AltbilgiChar">
    <w:name w:val="Altbilgi Char"/>
    <w:basedOn w:val="VarsaylanParagrafYazTipi"/>
    <w:link w:val="Altbilgi"/>
    <w:uiPriority w:val="99"/>
    <w:rsid w:val="005F3943"/>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2949</Words>
  <Characters>16815</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cp:lastModifiedBy>
  <cp:revision>2</cp:revision>
  <dcterms:created xsi:type="dcterms:W3CDTF">2020-04-28T09:34:00Z</dcterms:created>
  <dcterms:modified xsi:type="dcterms:W3CDTF">2020-04-28T09:34:00Z</dcterms:modified>
</cp:coreProperties>
</file>