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B3542A"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B3542A" w:rsidP="00CD0E48">
            <w:pPr>
              <w:pStyle w:val="AralkYok"/>
              <w:rPr>
                <w:rFonts w:ascii="Times New Roman" w:hAnsi="Times New Roman"/>
                <w:sz w:val="24"/>
                <w:szCs w:val="24"/>
                <w:lang w:eastAsia="tr-TR"/>
              </w:rPr>
            </w:pPr>
            <w:r>
              <w:rPr>
                <w:rFonts w:ascii="Times New Roman" w:hAnsi="Times New Roman"/>
                <w:sz w:val="24"/>
                <w:szCs w:val="24"/>
                <w:lang w:eastAsia="tr-TR"/>
              </w:rPr>
              <w:t>17.08.2021</w:t>
            </w:r>
          </w:p>
        </w:tc>
        <w:tc>
          <w:tcPr>
            <w:tcW w:w="6327" w:type="dxa"/>
            <w:vAlign w:val="center"/>
          </w:tcPr>
          <w:p w:rsidR="00CD0E48" w:rsidRPr="00FB1BFD" w:rsidRDefault="00B3542A"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p>
        </w:tc>
        <w:tc>
          <w:tcPr>
            <w:tcW w:w="1276" w:type="dxa"/>
            <w:vAlign w:val="center"/>
          </w:tcPr>
          <w:p w:rsidR="005F7DDF" w:rsidRDefault="005F7DDF" w:rsidP="00CD0E48">
            <w:pPr>
              <w:pStyle w:val="AralkYok"/>
              <w:rPr>
                <w:rFonts w:ascii="Times New Roman" w:hAnsi="Times New Roman"/>
                <w:sz w:val="24"/>
                <w:szCs w:val="24"/>
                <w:lang w:eastAsia="tr-TR"/>
              </w:rPr>
            </w:pPr>
          </w:p>
        </w:tc>
        <w:tc>
          <w:tcPr>
            <w:tcW w:w="6327" w:type="dxa"/>
            <w:vAlign w:val="center"/>
          </w:tcPr>
          <w:p w:rsidR="005F7DDF" w:rsidRPr="00FB1BFD" w:rsidRDefault="005F7DDF" w:rsidP="00CD0E48">
            <w:pPr>
              <w:pStyle w:val="AralkYok"/>
              <w:rPr>
                <w:rFonts w:ascii="Times New Roman" w:hAnsi="Times New Roman"/>
                <w:sz w:val="24"/>
                <w:szCs w:val="24"/>
                <w:lang w:eastAsia="tr-TR"/>
              </w:rPr>
            </w:pP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CF40F6" w:rsidRPr="00FB1BFD" w:rsidRDefault="00CF40F6" w:rsidP="00CD0E48">
      <w:pPr>
        <w:pStyle w:val="AralkYok"/>
        <w:jc w:val="both"/>
        <w:rPr>
          <w:rFonts w:ascii="Times New Roman" w:hAnsi="Times New Roman"/>
          <w:b/>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w:t>
      </w:r>
      <w:r w:rsidR="00ED7A99">
        <w:rPr>
          <w:rFonts w:ascii="Times New Roman" w:hAnsi="Times New Roman"/>
          <w:sz w:val="24"/>
          <w:szCs w:val="24"/>
        </w:rPr>
        <w:t xml:space="preserve">idari birimlerinde, çevresinde, </w:t>
      </w:r>
      <w:r w:rsidR="00EA243B">
        <w:rPr>
          <w:rFonts w:ascii="Times New Roman" w:hAnsi="Times New Roman"/>
          <w:sz w:val="24"/>
          <w:szCs w:val="24"/>
        </w:rPr>
        <w:t>oksijen</w:t>
      </w:r>
      <w:r w:rsidR="00ED7A99">
        <w:rPr>
          <w:rFonts w:ascii="Times New Roman" w:hAnsi="Times New Roman"/>
          <w:sz w:val="24"/>
          <w:szCs w:val="24"/>
        </w:rPr>
        <w:t xml:space="preserve"> kaynaklarının sebep olacağı </w:t>
      </w:r>
      <w:r w:rsidR="00852E1E" w:rsidRPr="00FB1BFD">
        <w:rPr>
          <w:rFonts w:ascii="Times New Roman" w:hAnsi="Times New Roman"/>
          <w:sz w:val="24"/>
          <w:szCs w:val="24"/>
        </w:rPr>
        <w:t>kazaların önlenmesine yönelik alınacak tedbirleri belirler.</w:t>
      </w:r>
    </w:p>
    <w:p w:rsidR="003A42FD" w:rsidRPr="00FB1BFD" w:rsidRDefault="003A42FD" w:rsidP="00CD0E48">
      <w:pPr>
        <w:pStyle w:val="AralkYok"/>
        <w:jc w:val="both"/>
        <w:rPr>
          <w:rFonts w:ascii="Times New Roman" w:hAnsi="Times New Roman"/>
          <w:sz w:val="24"/>
          <w:szCs w:val="24"/>
        </w:rPr>
      </w:pPr>
    </w:p>
    <w:p w:rsidR="00CD0E48" w:rsidRDefault="00CD0E48"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FB1BFD" w:rsidRPr="00FB1BFD" w:rsidRDefault="00FB1BFD" w:rsidP="00CD0E48">
      <w:pPr>
        <w:pStyle w:val="AralkYok"/>
        <w:jc w:val="both"/>
        <w:rPr>
          <w:rFonts w:ascii="Times New Roman" w:hAnsi="Times New Roman"/>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Bu Talimat Yıldız Teknik Üniversitesi’n</w:t>
      </w:r>
      <w:r w:rsidR="00CF40F6" w:rsidRPr="00FB1BFD">
        <w:rPr>
          <w:rFonts w:ascii="Times New Roman" w:hAnsi="Times New Roman"/>
          <w:sz w:val="24"/>
          <w:szCs w:val="24"/>
        </w:rPr>
        <w:t>in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3A42FD" w:rsidRDefault="003A42FD" w:rsidP="00CD0E48">
      <w:pPr>
        <w:pStyle w:val="AralkYok"/>
        <w:jc w:val="both"/>
        <w:rPr>
          <w:rFonts w:ascii="Times New Roman" w:hAnsi="Times New Roman"/>
          <w:sz w:val="24"/>
          <w:szCs w:val="24"/>
        </w:rPr>
      </w:pPr>
    </w:p>
    <w:p w:rsidR="00CD0E48" w:rsidRPr="003A42FD" w:rsidRDefault="00CF40F6"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CD0E48" w:rsidRPr="00FB1BFD" w:rsidRDefault="00CD0E48" w:rsidP="00CD0E48">
      <w:pPr>
        <w:pStyle w:val="AralkYok"/>
        <w:jc w:val="both"/>
        <w:rPr>
          <w:rFonts w:ascii="Times New Roman" w:hAnsi="Times New Roman"/>
          <w:b/>
          <w:sz w:val="24"/>
          <w:szCs w:val="24"/>
        </w:rPr>
      </w:pPr>
    </w:p>
    <w:p w:rsidR="003A42FD" w:rsidRDefault="00FB1BFD" w:rsidP="00CD0E48">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3A42FD" w:rsidRDefault="003A42FD" w:rsidP="00CD0E48">
      <w:pPr>
        <w:pStyle w:val="AralkYok"/>
        <w:jc w:val="both"/>
        <w:rPr>
          <w:rFonts w:ascii="Times New Roman" w:hAnsi="Times New Roman"/>
          <w:sz w:val="24"/>
          <w:szCs w:val="24"/>
        </w:rPr>
      </w:pPr>
    </w:p>
    <w:p w:rsidR="003A42FD" w:rsidRPr="003A42FD" w:rsidRDefault="00CF40F6" w:rsidP="00CD0E4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sidR="0074793C">
        <w:rPr>
          <w:rFonts w:ascii="Times New Roman" w:hAnsi="Times New Roman"/>
          <w:b/>
          <w:sz w:val="24"/>
          <w:szCs w:val="24"/>
        </w:rPr>
        <w:t>UKL</w:t>
      </w:r>
      <w:r w:rsidRPr="00FB1BFD">
        <w:rPr>
          <w:rFonts w:ascii="Times New Roman" w:hAnsi="Times New Roman"/>
          <w:b/>
          <w:sz w:val="24"/>
          <w:szCs w:val="24"/>
        </w:rPr>
        <w:t>AR</w:t>
      </w:r>
    </w:p>
    <w:p w:rsidR="003A42FD" w:rsidRDefault="003A42FD" w:rsidP="003A42FD">
      <w:pPr>
        <w:pStyle w:val="AralkYok"/>
        <w:ind w:left="720"/>
        <w:jc w:val="both"/>
        <w:rPr>
          <w:rFonts w:ascii="Times New Roman" w:hAnsi="Times New Roman"/>
          <w:sz w:val="24"/>
          <w:szCs w:val="24"/>
        </w:rPr>
      </w:pPr>
    </w:p>
    <w:p w:rsidR="00CD0E48" w:rsidRDefault="003A42FD" w:rsidP="003A42FD">
      <w:pPr>
        <w:pStyle w:val="AralkYok"/>
        <w:numPr>
          <w:ilvl w:val="1"/>
          <w:numId w:val="3"/>
        </w:numPr>
        <w:jc w:val="both"/>
        <w:rPr>
          <w:rFonts w:ascii="Times New Roman" w:hAnsi="Times New Roman"/>
          <w:sz w:val="24"/>
          <w:szCs w:val="24"/>
        </w:rPr>
      </w:pPr>
      <w:r w:rsidRPr="003A42FD">
        <w:rPr>
          <w:rFonts w:ascii="Times New Roman" w:hAnsi="Times New Roman"/>
          <w:sz w:val="24"/>
          <w:szCs w:val="24"/>
        </w:rPr>
        <w:t xml:space="preserve">Tüm personel </w:t>
      </w:r>
    </w:p>
    <w:p w:rsidR="003A42FD" w:rsidRPr="003A42FD" w:rsidRDefault="003A42FD" w:rsidP="003A42FD">
      <w:pPr>
        <w:pStyle w:val="AralkYok"/>
        <w:ind w:left="1080"/>
        <w:jc w:val="both"/>
        <w:rPr>
          <w:rFonts w:ascii="Times New Roman" w:hAnsi="Times New Roman"/>
          <w:sz w:val="24"/>
          <w:szCs w:val="24"/>
        </w:rPr>
      </w:pPr>
    </w:p>
    <w:p w:rsidR="00CD0E48" w:rsidRPr="00ED7A99" w:rsidRDefault="00CD0E48"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w:t>
      </w:r>
      <w:r w:rsidR="00CF40F6" w:rsidRPr="00FB1BFD">
        <w:rPr>
          <w:rFonts w:ascii="Times New Roman" w:hAnsi="Times New Roman"/>
          <w:b/>
          <w:sz w:val="24"/>
          <w:szCs w:val="24"/>
        </w:rPr>
        <w:t>UYGULAMA</w:t>
      </w:r>
    </w:p>
    <w:p w:rsidR="00ED7A99" w:rsidRPr="003A42FD" w:rsidRDefault="00ED7A99" w:rsidP="00ED7A99">
      <w:pPr>
        <w:pStyle w:val="AralkYok"/>
        <w:ind w:left="720"/>
        <w:jc w:val="both"/>
        <w:rPr>
          <w:rFonts w:ascii="Times New Roman" w:hAnsi="Times New Roman"/>
          <w:sz w:val="24"/>
          <w:szCs w:val="24"/>
        </w:rPr>
      </w:pPr>
    </w:p>
    <w:p w:rsid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sz w:val="24"/>
          <w:szCs w:val="24"/>
        </w:rPr>
        <w:t xml:space="preserve"> Kampüste çalışan personeller mutlaka işin gerektirdiği kişisel koruyucuları (baret, iş ayakkabısı, yüz maskesi, emniyet kemeri, gözlük vs.) kullanmalıdırlar.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işleri, konusunda mesleki eğitimini tamamlamış yetkin kişiler tarafından yapılmalıdır.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Kullanılan tüplerin ilgili mevzuata göre ilgili teknik eleman tarafından yılda 1 periyodik kontrolleri yapılmalı ve uygunluk raporu verilmemişse gerekli düzenlemeler yapılana kadar kullanılmamalıdır.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yapmaya başlamadan önce, kaynak makinesinin bağlantıları doğru ve eksiksiz olarak yapılmalıdır.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tüplerinin hortum ve bağlantıları gevşeme ve aşınmaya karşı periyodik olarak kontrol edilmelidir.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tüplerinin basınç göstergeleri (manometre) çalışır durumda olmalı ve sürekli kontrol edilmelidir.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 xml:space="preserve">Kaynak tüplerinin gaz çıkış noktaları ile şaloma girişlerinde alev geri tepmesini engelleyen </w:t>
      </w:r>
      <w:proofErr w:type="spellStart"/>
      <w:r w:rsidRPr="00ED7A99">
        <w:rPr>
          <w:rFonts w:ascii="Times New Roman" w:hAnsi="Times New Roman" w:cs="Times New Roman"/>
          <w:sz w:val="24"/>
          <w:szCs w:val="24"/>
        </w:rPr>
        <w:lastRenderedPageBreak/>
        <w:t>ventiller</w:t>
      </w:r>
      <w:proofErr w:type="spellEnd"/>
      <w:r w:rsidRPr="00ED7A99">
        <w:rPr>
          <w:rFonts w:ascii="Times New Roman" w:hAnsi="Times New Roman" w:cs="Times New Roman"/>
          <w:sz w:val="24"/>
          <w:szCs w:val="24"/>
        </w:rPr>
        <w:t xml:space="preserve"> olmalıdır.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r w:rsidRPr="00ED7A99">
        <w:rPr>
          <w:rFonts w:ascii="Times New Roman" w:hAnsi="Times New Roman" w:cs="Times New Roman"/>
          <w:sz w:val="24"/>
          <w:szCs w:val="24"/>
        </w:rPr>
        <w:t>Özellikle boyun ve kollar sıcak ve kıvılcımdan korunmalı, pantolon paçalarının kıvrımı aşağıya indirilmelidir.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r w:rsidRPr="00ED7A99">
        <w:rPr>
          <w:rFonts w:ascii="Times New Roman" w:hAnsi="Times New Roman" w:cs="Times New Roman"/>
          <w:sz w:val="24"/>
          <w:szCs w:val="24"/>
        </w:rPr>
        <w:t>Kaynak yapmaya başlamadan önce, çalışma bölgesinde bulunan diğer işçiler uyarılmalıdır.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Çalışılan yerde yanıcı madde bulundurulmamalıdır.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Petrol, yağ, boya veya herhangi bir patlayıcı madde içeren tank, bidon ve benzeri kapların kaynakları yapılmadan önce, bunların tamamen temizlendiğinden ve içinde buhar olmadığından emin olunmalı ve ilgili formenin kontrolünden sonra kaynak yapılmalıdır.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Kullanılan tüpler ile kaynak yapılan alan arasında en az 10 metre mesafe olmalıdır.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Asetilen bakır alaşımları ile temas etmemelidir. Asetilenin gümüş ve bakır alaşımları ile teması patlayıcı bileşimler meydana getirir. Kaynak dikişlerinin tahribatsız muayenesinde kullanılan kimyasallar sıcaklık etkisiyle tutuşabilir. O halde montaj sonrası boru içerisine hava veya azot gazı verilerek yabancı maddeler temizlenmelidir.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yapılan yerin altındaki kıvılcımlardan dolayı tutuşabilecek tahta, yağ, paçavra ve diğer yanıcı maddeler kaldırılmalıdır.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Galvanize veya kurşunlu çeliğin kaynağı yapılırken açık havada çalışılacak veya yeterli havalandırma sağlanmalıdır.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Dolu tüpler en az iki kişi tarafından taşınmalıdır.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Tüpler taşınırken sürtünme, kayma, düşme ve çarpma riskine karşı dikkatli olunmalıdır. Tüplerin üstünde valf koruma başlığı bulunmalıdır. Bu başlıklar tutularak tüpler taşınmamalıdır.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Kaynak tüpleri tekerlekli özel araçlarla dik konumda taşınmalı, tüpler zincirlerle arabalara bağlanmalı ve malzeme düşme riski bulunan bölgelerde bırakılmamalıdır.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Tüpler kapaksız olarak araçlarla taşınmamalıdır.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Tüpler özel bir araç kullanılmadıkça regülâtörleri ve hortumları ile taşınmamalıdır.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Tüpler, vinç ile taşınırken en az iki yerden bağlanmalı, birden fazla tüpün taşınması gerekiyorsa özel bir sepet kullanılmalıdır.</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 xml:space="preserve">Yağlı el, elbise ve eldiven ile tüplere ve </w:t>
      </w:r>
      <w:proofErr w:type="spellStart"/>
      <w:r w:rsidRPr="00ED7A99">
        <w:rPr>
          <w:rFonts w:ascii="Times New Roman" w:hAnsi="Times New Roman" w:cs="Times New Roman"/>
          <w:sz w:val="24"/>
          <w:szCs w:val="24"/>
        </w:rPr>
        <w:t>ataşmanlarına</w:t>
      </w:r>
      <w:proofErr w:type="spellEnd"/>
      <w:r w:rsidRPr="00ED7A99">
        <w:rPr>
          <w:rFonts w:ascii="Times New Roman" w:hAnsi="Times New Roman" w:cs="Times New Roman"/>
          <w:sz w:val="24"/>
          <w:szCs w:val="24"/>
        </w:rPr>
        <w:t xml:space="preserve"> dokunulmamalıdır. </w:t>
      </w:r>
    </w:p>
    <w:p w:rsidR="00ED7A99" w:rsidRPr="00ED7A99" w:rsidRDefault="00ED7A99" w:rsidP="00ED7A99">
      <w:pPr>
        <w:pStyle w:val="ListeParagraf"/>
        <w:numPr>
          <w:ilvl w:val="1"/>
          <w:numId w:val="3"/>
        </w:numPr>
        <w:spacing w:after="0" w:line="360" w:lineRule="auto"/>
        <w:jc w:val="both"/>
        <w:rPr>
          <w:rFonts w:ascii="Times New Roman" w:hAnsi="Times New Roman"/>
          <w:sz w:val="24"/>
          <w:szCs w:val="24"/>
        </w:rPr>
      </w:pPr>
      <w:r w:rsidRPr="00ED7A99">
        <w:rPr>
          <w:rFonts w:ascii="Times New Roman" w:hAnsi="Times New Roman" w:cs="Times New Roman"/>
          <w:sz w:val="24"/>
          <w:szCs w:val="24"/>
        </w:rPr>
        <w:t>Vanalar yavaş yavaş ve önce yanıcı gaz (asetilen) sonra yakıcı gaz (oksijen) şeklinde açılmalıdır. Kapatırken tersi işlem yapılmalıdır.</w:t>
      </w:r>
    </w:p>
    <w:p w:rsidR="00CF40F6" w:rsidRPr="00FB1BFD" w:rsidRDefault="00CF40F6" w:rsidP="00ED7A99">
      <w:pPr>
        <w:pStyle w:val="AralkYok"/>
        <w:ind w:left="1080"/>
        <w:jc w:val="both"/>
        <w:rPr>
          <w:rFonts w:ascii="Times New Roman" w:hAnsi="Times New Roman"/>
          <w:sz w:val="24"/>
          <w:szCs w:val="24"/>
        </w:rPr>
      </w:pPr>
    </w:p>
    <w:p w:rsidR="00CF40F6"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lastRenderedPageBreak/>
        <w:t xml:space="preserve"> İLGİLİ DOKÜMANLAR</w:t>
      </w:r>
    </w:p>
    <w:p w:rsidR="00ED7A99" w:rsidRPr="00FB1BFD" w:rsidRDefault="00ED7A99" w:rsidP="00ED7A99">
      <w:pPr>
        <w:pStyle w:val="AralkYok"/>
        <w:ind w:left="720"/>
        <w:jc w:val="both"/>
        <w:rPr>
          <w:rFonts w:ascii="Times New Roman" w:hAnsi="Times New Roman"/>
          <w:b/>
          <w:sz w:val="24"/>
          <w:szCs w:val="24"/>
        </w:rPr>
      </w:pPr>
    </w:p>
    <w:p w:rsidR="00CF7D39" w:rsidRDefault="00ED7A99" w:rsidP="00CF7D39">
      <w:pPr>
        <w:pStyle w:val="AralkYok"/>
        <w:numPr>
          <w:ilvl w:val="1"/>
          <w:numId w:val="5"/>
        </w:numPr>
        <w:jc w:val="both"/>
        <w:rPr>
          <w:rFonts w:ascii="Times New Roman" w:hAnsi="Times New Roman"/>
          <w:sz w:val="24"/>
          <w:szCs w:val="24"/>
        </w:rPr>
      </w:pPr>
      <w:r>
        <w:rPr>
          <w:rFonts w:ascii="Times New Roman" w:hAnsi="Times New Roman"/>
          <w:sz w:val="24"/>
          <w:szCs w:val="24"/>
        </w:rPr>
        <w:t xml:space="preserve"> </w:t>
      </w:r>
      <w:r w:rsidR="0076364B">
        <w:rPr>
          <w:rFonts w:ascii="Times New Roman" w:hAnsi="Times New Roman"/>
          <w:sz w:val="24"/>
          <w:szCs w:val="24"/>
        </w:rPr>
        <w:t xml:space="preserve">FR-1764 </w:t>
      </w:r>
      <w:r w:rsidR="00CF7D39">
        <w:rPr>
          <w:rFonts w:ascii="Times New Roman" w:hAnsi="Times New Roman"/>
          <w:sz w:val="24"/>
          <w:szCs w:val="24"/>
        </w:rPr>
        <w:t xml:space="preserve">Genel İş İzin Formu </w:t>
      </w:r>
    </w:p>
    <w:p w:rsidR="003A42FD" w:rsidRPr="00FB1BFD" w:rsidRDefault="003A42FD" w:rsidP="00CF7D39">
      <w:pPr>
        <w:pStyle w:val="AralkYok"/>
        <w:ind w:left="1080"/>
        <w:jc w:val="both"/>
        <w:rPr>
          <w:rFonts w:ascii="Times New Roman" w:hAnsi="Times New Roman"/>
          <w:sz w:val="24"/>
          <w:szCs w:val="24"/>
        </w:rPr>
      </w:pPr>
    </w:p>
    <w:sectPr w:rsidR="003A42FD" w:rsidRPr="00FB1BFD"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30" w:rsidRDefault="00B72330" w:rsidP="00151E02">
      <w:pPr>
        <w:spacing w:after="0" w:line="240" w:lineRule="auto"/>
      </w:pPr>
      <w:r>
        <w:separator/>
      </w:r>
    </w:p>
  </w:endnote>
  <w:endnote w:type="continuationSeparator" w:id="0">
    <w:p w:rsidR="00B72330" w:rsidRDefault="00B72330"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E8" w:rsidRDefault="00595E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595EE8" w:rsidRPr="00AE6D38" w:rsidTr="00D974AF">
      <w:tc>
        <w:tcPr>
          <w:tcW w:w="3259" w:type="dxa"/>
          <w:shd w:val="clear" w:color="auto" w:fill="auto"/>
        </w:tcPr>
        <w:p w:rsidR="00595EE8" w:rsidRDefault="00595EE8" w:rsidP="00595EE8">
          <w:pPr>
            <w:pStyle w:val="Altbilgi"/>
            <w:jc w:val="center"/>
            <w:rPr>
              <w:rFonts w:ascii="Arial" w:hAnsi="Arial" w:cs="Arial"/>
              <w:sz w:val="20"/>
            </w:rPr>
          </w:pPr>
          <w:r w:rsidRPr="00AE6D38">
            <w:rPr>
              <w:rFonts w:ascii="Arial" w:hAnsi="Arial" w:cs="Arial"/>
              <w:sz w:val="20"/>
            </w:rPr>
            <w:t>Hazırlayan</w:t>
          </w:r>
        </w:p>
        <w:p w:rsidR="00595EE8" w:rsidRPr="00AE6D38" w:rsidRDefault="00595EE8" w:rsidP="00595EE8">
          <w:pPr>
            <w:pStyle w:val="Altbilgi"/>
            <w:jc w:val="center"/>
            <w:rPr>
              <w:rFonts w:ascii="Arial" w:hAnsi="Arial" w:cs="Arial"/>
              <w:sz w:val="20"/>
            </w:rPr>
          </w:pPr>
          <w:r>
            <w:rPr>
              <w:rFonts w:ascii="Arial" w:hAnsi="Arial" w:cs="Arial"/>
              <w:sz w:val="20"/>
            </w:rPr>
            <w:t xml:space="preserve">İSG Koordinatörlüğü </w:t>
          </w:r>
        </w:p>
      </w:tc>
      <w:tc>
        <w:tcPr>
          <w:tcW w:w="3259" w:type="dxa"/>
          <w:shd w:val="clear" w:color="auto" w:fill="auto"/>
        </w:tcPr>
        <w:p w:rsidR="00595EE8" w:rsidRDefault="00595EE8" w:rsidP="00595EE8">
          <w:pPr>
            <w:pStyle w:val="Altbilgi"/>
            <w:jc w:val="center"/>
            <w:rPr>
              <w:rFonts w:ascii="Arial" w:hAnsi="Arial" w:cs="Arial"/>
              <w:sz w:val="20"/>
            </w:rPr>
          </w:pPr>
          <w:r w:rsidRPr="00AE6D38">
            <w:rPr>
              <w:rFonts w:ascii="Arial" w:hAnsi="Arial" w:cs="Arial"/>
              <w:sz w:val="20"/>
            </w:rPr>
            <w:t>Sistem Onayı</w:t>
          </w:r>
        </w:p>
        <w:p w:rsidR="00595EE8" w:rsidRPr="00AE6D38" w:rsidRDefault="00595EE8" w:rsidP="00595EE8">
          <w:pPr>
            <w:pStyle w:val="Altbilgi"/>
            <w:jc w:val="center"/>
            <w:rPr>
              <w:rFonts w:ascii="Arial" w:hAnsi="Arial" w:cs="Arial"/>
              <w:sz w:val="20"/>
            </w:rPr>
          </w:pPr>
          <w:r>
            <w:rPr>
              <w:rFonts w:ascii="Arial" w:hAnsi="Arial" w:cs="Arial"/>
              <w:sz w:val="20"/>
            </w:rPr>
            <w:t>Prof. Dr. İhsan KAYA</w:t>
          </w:r>
        </w:p>
      </w:tc>
      <w:tc>
        <w:tcPr>
          <w:tcW w:w="3371" w:type="dxa"/>
          <w:shd w:val="clear" w:color="auto" w:fill="auto"/>
        </w:tcPr>
        <w:p w:rsidR="00595EE8" w:rsidRDefault="00595EE8" w:rsidP="00595EE8">
          <w:pPr>
            <w:pStyle w:val="Altbilgi"/>
            <w:jc w:val="center"/>
            <w:rPr>
              <w:rFonts w:ascii="Arial" w:hAnsi="Arial" w:cs="Arial"/>
              <w:sz w:val="20"/>
            </w:rPr>
          </w:pPr>
          <w:r w:rsidRPr="00AE6D38">
            <w:rPr>
              <w:rFonts w:ascii="Arial" w:hAnsi="Arial" w:cs="Arial"/>
              <w:sz w:val="20"/>
            </w:rPr>
            <w:t>Yürürlük Onayı</w:t>
          </w:r>
        </w:p>
        <w:p w:rsidR="00595EE8" w:rsidRDefault="00595EE8" w:rsidP="00595EE8">
          <w:pPr>
            <w:pStyle w:val="Altbilgi"/>
            <w:jc w:val="center"/>
            <w:rPr>
              <w:rFonts w:ascii="Arial" w:hAnsi="Arial" w:cs="Arial"/>
              <w:sz w:val="20"/>
            </w:rPr>
          </w:pPr>
          <w:r>
            <w:rPr>
              <w:rFonts w:ascii="Arial" w:hAnsi="Arial" w:cs="Arial"/>
              <w:sz w:val="20"/>
            </w:rPr>
            <w:t>Prof. Dr. Umut Rıfat TUZKAYA</w:t>
          </w:r>
        </w:p>
        <w:p w:rsidR="00595EE8" w:rsidRPr="00AE6D38" w:rsidRDefault="00595EE8" w:rsidP="00595EE8">
          <w:pPr>
            <w:pStyle w:val="Altbilgi"/>
            <w:jc w:val="center"/>
            <w:rPr>
              <w:rFonts w:ascii="Arial" w:hAnsi="Arial" w:cs="Arial"/>
              <w:sz w:val="20"/>
            </w:rPr>
          </w:pPr>
        </w:p>
      </w:tc>
    </w:tr>
  </w:tbl>
  <w:p w:rsidR="00151E02" w:rsidRPr="00151E02" w:rsidRDefault="00151E02">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E8" w:rsidRDefault="00595E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30" w:rsidRDefault="00B72330" w:rsidP="00151E02">
      <w:pPr>
        <w:spacing w:after="0" w:line="240" w:lineRule="auto"/>
      </w:pPr>
      <w:r>
        <w:separator/>
      </w:r>
    </w:p>
  </w:footnote>
  <w:footnote w:type="continuationSeparator" w:id="0">
    <w:p w:rsidR="00B72330" w:rsidRDefault="00B72330"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E8" w:rsidRDefault="00595EE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319"/>
      <w:gridCol w:w="1550"/>
      <w:gridCol w:w="1377"/>
    </w:tblGrid>
    <w:tr w:rsidR="00151E02" w:rsidRPr="00AE6D38" w:rsidTr="00AE6D38">
      <w:trPr>
        <w:trHeight w:val="276"/>
      </w:trPr>
      <w:tc>
        <w:tcPr>
          <w:tcW w:w="1526" w:type="dxa"/>
          <w:vMerge w:val="restart"/>
          <w:shd w:val="clear" w:color="auto" w:fill="auto"/>
          <w:vAlign w:val="center"/>
        </w:tcPr>
        <w:p w:rsidR="00151E02" w:rsidRPr="00AE6D38" w:rsidRDefault="00A35329" w:rsidP="00AE6D38">
          <w:pPr>
            <w:pStyle w:val="stbilgi"/>
            <w:jc w:val="center"/>
            <w:rPr>
              <w:rFonts w:ascii="Arial" w:hAnsi="Arial" w:cs="Arial"/>
            </w:rPr>
          </w:pPr>
          <w:r>
            <w:rPr>
              <w:rFonts w:ascii="Arial" w:hAnsi="Arial" w:cs="Arial"/>
              <w:noProof/>
              <w:lang w:eastAsia="tr-TR"/>
            </w:rPr>
            <w:drawing>
              <wp:inline distT="0" distB="0" distL="0" distR="0" wp14:anchorId="47D2E865" wp14:editId="012A5279">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151E02" w:rsidRPr="00A35329" w:rsidRDefault="005F58F2" w:rsidP="00A35329">
          <w:pPr>
            <w:pStyle w:val="stbilgi"/>
            <w:jc w:val="center"/>
            <w:rPr>
              <w:rFonts w:ascii="Times New Roman" w:hAnsi="Times New Roman"/>
              <w:b/>
              <w:color w:val="000000" w:themeColor="text1"/>
            </w:rPr>
          </w:pPr>
          <w:r>
            <w:rPr>
              <w:rFonts w:ascii="Times New Roman" w:hAnsi="Times New Roman"/>
              <w:b/>
              <w:bCs/>
              <w:color w:val="000000" w:themeColor="text1"/>
              <w:sz w:val="28"/>
              <w:szCs w:val="28"/>
            </w:rPr>
            <w:t xml:space="preserve">İSG </w:t>
          </w:r>
          <w:bookmarkStart w:id="0" w:name="_GoBack"/>
          <w:bookmarkEnd w:id="0"/>
          <w:r w:rsidR="00EA243B">
            <w:rPr>
              <w:rFonts w:ascii="Times New Roman" w:hAnsi="Times New Roman"/>
              <w:b/>
              <w:bCs/>
              <w:color w:val="000000" w:themeColor="text1"/>
              <w:sz w:val="28"/>
              <w:szCs w:val="28"/>
            </w:rPr>
            <w:t>OKSİJEN</w:t>
          </w:r>
          <w:r w:rsidR="00ED7A99">
            <w:rPr>
              <w:rFonts w:ascii="Times New Roman" w:hAnsi="Times New Roman"/>
              <w:b/>
              <w:bCs/>
              <w:color w:val="000000" w:themeColor="text1"/>
              <w:sz w:val="28"/>
              <w:szCs w:val="28"/>
            </w:rPr>
            <w:t xml:space="preserve"> KAYNAĞI VE KESİM İŞLERİ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215BBD" w:rsidP="00151E02">
          <w:pPr>
            <w:pStyle w:val="stbilgi"/>
            <w:rPr>
              <w:rFonts w:ascii="Arial" w:hAnsi="Arial" w:cs="Arial"/>
              <w:b/>
              <w:sz w:val="18"/>
            </w:rPr>
          </w:pPr>
          <w:r>
            <w:rPr>
              <w:rFonts w:ascii="Arial" w:hAnsi="Arial" w:cs="Arial"/>
              <w:b/>
              <w:sz w:val="18"/>
            </w:rPr>
            <w:t>TL-</w:t>
          </w:r>
          <w:r w:rsidR="00BF73F8">
            <w:rPr>
              <w:rFonts w:ascii="Arial" w:hAnsi="Arial" w:cs="Arial"/>
              <w:b/>
              <w:sz w:val="18"/>
            </w:rPr>
            <w:t>329</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BF73F8" w:rsidP="00151E02">
          <w:pPr>
            <w:pStyle w:val="stbilgi"/>
            <w:rPr>
              <w:rFonts w:ascii="Arial" w:hAnsi="Arial" w:cs="Arial"/>
              <w:b/>
              <w:sz w:val="18"/>
            </w:rPr>
          </w:pPr>
          <w:r>
            <w:rPr>
              <w:rFonts w:ascii="Arial" w:hAnsi="Arial" w:cs="Arial"/>
              <w:b/>
              <w:sz w:val="18"/>
            </w:rPr>
            <w:t>17.08.2021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B3542A"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5F58F2">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4E4CEA">
            <w:rPr>
              <w:rFonts w:ascii="Arial" w:hAnsi="Arial" w:cs="Arial"/>
              <w:b/>
              <w:noProof/>
              <w:sz w:val="18"/>
            </w:rPr>
            <w:fldChar w:fldCharType="begin"/>
          </w:r>
          <w:r w:rsidR="004E4CEA">
            <w:rPr>
              <w:rFonts w:ascii="Arial" w:hAnsi="Arial" w:cs="Arial"/>
              <w:b/>
              <w:noProof/>
              <w:sz w:val="18"/>
            </w:rPr>
            <w:instrText xml:space="preserve"> NUMPAGES   \* MERGEFORMAT </w:instrText>
          </w:r>
          <w:r w:rsidR="004E4CEA">
            <w:rPr>
              <w:rFonts w:ascii="Arial" w:hAnsi="Arial" w:cs="Arial"/>
              <w:b/>
              <w:noProof/>
              <w:sz w:val="18"/>
            </w:rPr>
            <w:fldChar w:fldCharType="separate"/>
          </w:r>
          <w:r w:rsidR="005F58F2">
            <w:rPr>
              <w:rFonts w:ascii="Arial" w:hAnsi="Arial" w:cs="Arial"/>
              <w:b/>
              <w:noProof/>
              <w:sz w:val="18"/>
            </w:rPr>
            <w:t>3</w:t>
          </w:r>
          <w:r w:rsidR="004E4CE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E8" w:rsidRDefault="00595E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70481"/>
    <w:multiLevelType w:val="hybridMultilevel"/>
    <w:tmpl w:val="078C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564A8E"/>
    <w:multiLevelType w:val="hybridMultilevel"/>
    <w:tmpl w:val="A0625CCE"/>
    <w:lvl w:ilvl="0" w:tplc="9EF6DE64">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8E109E6"/>
    <w:multiLevelType w:val="multilevel"/>
    <w:tmpl w:val="31E0D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7A86DE2"/>
    <w:multiLevelType w:val="hybridMultilevel"/>
    <w:tmpl w:val="99F86E6E"/>
    <w:lvl w:ilvl="0" w:tplc="08305F46">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60F62"/>
    <w:rsid w:val="000C1096"/>
    <w:rsid w:val="001009F7"/>
    <w:rsid w:val="0012495A"/>
    <w:rsid w:val="00151E02"/>
    <w:rsid w:val="00170AFA"/>
    <w:rsid w:val="001B73D1"/>
    <w:rsid w:val="00215BBD"/>
    <w:rsid w:val="002462CE"/>
    <w:rsid w:val="00267AC4"/>
    <w:rsid w:val="002D0935"/>
    <w:rsid w:val="00322ED0"/>
    <w:rsid w:val="00334D09"/>
    <w:rsid w:val="003A42FD"/>
    <w:rsid w:val="003F4AA3"/>
    <w:rsid w:val="003F4ADA"/>
    <w:rsid w:val="003F579C"/>
    <w:rsid w:val="00400547"/>
    <w:rsid w:val="00430800"/>
    <w:rsid w:val="004367DF"/>
    <w:rsid w:val="00480BCB"/>
    <w:rsid w:val="004E4CEA"/>
    <w:rsid w:val="004E5812"/>
    <w:rsid w:val="004F0D30"/>
    <w:rsid w:val="00525A21"/>
    <w:rsid w:val="00551052"/>
    <w:rsid w:val="00595EE8"/>
    <w:rsid w:val="005F58F2"/>
    <w:rsid w:val="005F7DDF"/>
    <w:rsid w:val="00602179"/>
    <w:rsid w:val="00666341"/>
    <w:rsid w:val="00673457"/>
    <w:rsid w:val="006954F6"/>
    <w:rsid w:val="006C470F"/>
    <w:rsid w:val="0074793C"/>
    <w:rsid w:val="00754831"/>
    <w:rsid w:val="0076364B"/>
    <w:rsid w:val="00790DC3"/>
    <w:rsid w:val="007A45B5"/>
    <w:rsid w:val="00811A66"/>
    <w:rsid w:val="00852E1E"/>
    <w:rsid w:val="008F0CA4"/>
    <w:rsid w:val="008F5437"/>
    <w:rsid w:val="0090742B"/>
    <w:rsid w:val="00910886"/>
    <w:rsid w:val="009A32BF"/>
    <w:rsid w:val="009F0DE9"/>
    <w:rsid w:val="00A306F5"/>
    <w:rsid w:val="00A35329"/>
    <w:rsid w:val="00A429D5"/>
    <w:rsid w:val="00A51B1C"/>
    <w:rsid w:val="00AC4EF1"/>
    <w:rsid w:val="00AC7266"/>
    <w:rsid w:val="00AE6D38"/>
    <w:rsid w:val="00B045A4"/>
    <w:rsid w:val="00B3542A"/>
    <w:rsid w:val="00B72330"/>
    <w:rsid w:val="00BF73F8"/>
    <w:rsid w:val="00C40CC8"/>
    <w:rsid w:val="00C62E2B"/>
    <w:rsid w:val="00C83D48"/>
    <w:rsid w:val="00CD0E48"/>
    <w:rsid w:val="00CF40F6"/>
    <w:rsid w:val="00CF7D39"/>
    <w:rsid w:val="00DA7DF6"/>
    <w:rsid w:val="00DD7638"/>
    <w:rsid w:val="00E053A5"/>
    <w:rsid w:val="00E06143"/>
    <w:rsid w:val="00E429C8"/>
    <w:rsid w:val="00EA243B"/>
    <w:rsid w:val="00EC538A"/>
    <w:rsid w:val="00ED7A99"/>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7280E-59CA-4EB1-B24F-23D42CE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3A42FD"/>
    <w:pPr>
      <w:widowControl w:val="0"/>
      <w:overflowPunct w:val="0"/>
      <w:autoSpaceDE w:val="0"/>
      <w:autoSpaceDN w:val="0"/>
      <w:adjustRightInd w:val="0"/>
      <w:spacing w:after="120" w:line="285" w:lineRule="auto"/>
      <w:ind w:left="720"/>
      <w:contextualSpacing/>
    </w:pPr>
    <w:rPr>
      <w:rFonts w:ascii="Book Antiqua" w:eastAsia="Times New Roman" w:hAnsi="Book Antiqua" w:cs="Book Antiqua"/>
      <w:color w:val="000000"/>
      <w:kern w:val="28"/>
      <w:sz w:val="17"/>
      <w:szCs w:val="1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 w:id="18237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AEC2-D557-4AC2-965C-9C7C50C7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4</cp:revision>
  <cp:lastPrinted>2012-04-19T15:37:00Z</cp:lastPrinted>
  <dcterms:created xsi:type="dcterms:W3CDTF">2021-08-18T12:25:00Z</dcterms:created>
  <dcterms:modified xsi:type="dcterms:W3CDTF">2021-10-15T09:09:00Z</dcterms:modified>
</cp:coreProperties>
</file>